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2" w:rsidRPr="00C94420" w:rsidRDefault="00077CDE">
      <w:pPr>
        <w:pStyle w:val="explanatorynotes"/>
        <w:suppressAutoHyphens w:val="0"/>
        <w:spacing w:after="0" w:line="240" w:lineRule="auto"/>
        <w:jc w:val="center"/>
        <w:outlineLvl w:val="1"/>
        <w:rPr>
          <w:rFonts w:ascii="Times New Roman" w:hAnsi="Times New Roman"/>
          <w:b/>
          <w:bCs/>
          <w:sz w:val="28"/>
          <w:lang w:val="es-ES"/>
        </w:rPr>
      </w:pPr>
      <w:r w:rsidRPr="00C94420">
        <w:rPr>
          <w:rFonts w:ascii="Times New Roman" w:hAnsi="Times New Roman"/>
          <w:b/>
          <w:bCs/>
          <w:sz w:val="28"/>
          <w:lang w:val="es-ES"/>
        </w:rPr>
        <w:t>Parte B – Disposiciones Específicas</w:t>
      </w:r>
    </w:p>
    <w:p w:rsidR="005032B2" w:rsidRPr="00C94420" w:rsidRDefault="005032B2">
      <w:pPr>
        <w:pStyle w:val="explanatorynotes"/>
        <w:suppressAutoHyphens w:val="0"/>
        <w:spacing w:after="0" w:line="240" w:lineRule="auto"/>
        <w:jc w:val="left"/>
        <w:rPr>
          <w:rFonts w:ascii="Times New Roman" w:hAnsi="Times New Roman"/>
          <w:lang w:val="es-ES"/>
        </w:rPr>
      </w:pPr>
    </w:p>
    <w:p w:rsidR="005032B2" w:rsidRPr="00C94420" w:rsidRDefault="005032B2">
      <w:pPr>
        <w:pStyle w:val="explanatorynotes"/>
        <w:suppressAutoHyphens w:val="0"/>
        <w:spacing w:after="0" w:line="240" w:lineRule="auto"/>
        <w:jc w:val="center"/>
        <w:rPr>
          <w:rFonts w:ascii="Times New Roman" w:hAnsi="Times New Roman"/>
          <w:b/>
          <w:bCs/>
          <w:sz w:val="28"/>
          <w:lang w:val="es-ES" w:eastAsia="ja-JP"/>
        </w:rPr>
      </w:pPr>
    </w:p>
    <w:p w:rsidR="005032B2" w:rsidRPr="00C94420" w:rsidRDefault="00077CDE">
      <w:pPr>
        <w:pStyle w:val="explanatorynotes"/>
        <w:suppressAutoHyphens w:val="0"/>
        <w:spacing w:after="0" w:line="240" w:lineRule="auto"/>
        <w:rPr>
          <w:rFonts w:ascii="Times New Roman" w:hAnsi="Times New Roman"/>
          <w:i/>
          <w:lang w:val="es-ES" w:eastAsia="ja-JP"/>
        </w:rPr>
      </w:pPr>
      <w:r w:rsidRPr="00C94420">
        <w:rPr>
          <w:rFonts w:ascii="Times New Roman" w:hAnsi="Times New Roman"/>
          <w:i/>
          <w:lang w:val="es-ES"/>
        </w:rPr>
        <w:t xml:space="preserve">[Las Disposiciones Específicas de las Condiciones Particulares (“CP”) tienen como objetivo acordar los requisitos específicos del país, proyecto y contrato que no son cubiertos por las Condiciones Generales (“CG”). La persona que se encargue de redactar las Disposiciones Específicas deberá estar plenamente familiarizada con las disposiciones de las CG y cualesquiera requisitos específicos del Contrato. Es recomendable recurrir a asesoría jurídica para enmendar o redactor nuevas disposiciones. </w:t>
      </w:r>
      <w:r w:rsidRPr="00C94420">
        <w:rPr>
          <w:rFonts w:ascii="Times New Roman" w:hAnsi="Times New Roman"/>
          <w:i/>
          <w:lang w:val="es-ES" w:eastAsia="ja-JP"/>
        </w:rPr>
        <w:t xml:space="preserve"> </w:t>
      </w:r>
    </w:p>
    <w:p w:rsidR="005032B2" w:rsidRPr="00C94420" w:rsidRDefault="00077CDE">
      <w:pPr>
        <w:pStyle w:val="explanatorynotes"/>
        <w:suppressAutoHyphens w:val="0"/>
        <w:spacing w:after="0" w:line="240" w:lineRule="auto"/>
        <w:rPr>
          <w:rFonts w:ascii="Times New Roman" w:hAnsi="Times New Roman"/>
          <w:i/>
          <w:lang w:val="es-ES" w:eastAsia="ja-JP"/>
        </w:rPr>
      </w:pPr>
      <w:r w:rsidRPr="00C94420">
        <w:rPr>
          <w:rFonts w:ascii="Times New Roman" w:hAnsi="Times New Roman"/>
          <w:i/>
          <w:lang w:val="es-ES" w:eastAsia="ja-JP"/>
        </w:rPr>
        <w:t xml:space="preserve">Las Disposiciones Específicas Estándar, preparadas por JICA e incluida en esta Parte B de las CP, </w:t>
      </w:r>
      <w:r w:rsidRPr="00C94420">
        <w:rPr>
          <w:rFonts w:ascii="Times New Roman" w:hAnsi="Times New Roman"/>
          <w:b/>
          <w:i/>
          <w:lang w:val="es-ES" w:eastAsia="ja-JP"/>
        </w:rPr>
        <w:t>deberán usarse sin modificación alguna</w:t>
      </w:r>
      <w:r w:rsidRPr="00C94420">
        <w:rPr>
          <w:rFonts w:ascii="Times New Roman" w:hAnsi="Times New Roman"/>
          <w:i/>
          <w:lang w:val="es-ES" w:eastAsia="ja-JP"/>
        </w:rPr>
        <w:t>.]</w:t>
      </w:r>
    </w:p>
    <w:p w:rsidR="005032B2" w:rsidRPr="00C94420" w:rsidRDefault="005032B2">
      <w:pPr>
        <w:pStyle w:val="explanatorynotes"/>
        <w:suppressAutoHyphens w:val="0"/>
        <w:spacing w:after="0" w:line="240" w:lineRule="auto"/>
        <w:rPr>
          <w:rFonts w:ascii="Times New Roman" w:hAnsi="Times New Roman"/>
          <w:i/>
          <w:lang w:val="es-ES" w:eastAsia="ja-JP"/>
        </w:rPr>
      </w:pPr>
    </w:p>
    <w:tbl>
      <w:tblPr>
        <w:tblW w:w="0" w:type="auto"/>
        <w:tblInd w:w="108" w:type="dxa"/>
        <w:tblLook w:val="0000" w:firstRow="0" w:lastRow="0" w:firstColumn="0" w:lastColumn="0" w:noHBand="0" w:noVBand="0"/>
      </w:tblPr>
      <w:tblGrid>
        <w:gridCol w:w="2401"/>
        <w:gridCol w:w="5995"/>
      </w:tblGrid>
      <w:tr w:rsidR="005032B2" w:rsidRPr="00E21B26" w:rsidTr="00077CDE">
        <w:trPr>
          <w:trHeight w:val="1143"/>
        </w:trPr>
        <w:tc>
          <w:tcPr>
            <w:tcW w:w="2410" w:type="dxa"/>
          </w:tcPr>
          <w:p w:rsidR="005032B2" w:rsidRPr="00C94420" w:rsidRDefault="00077CDE">
            <w:pPr>
              <w:pStyle w:val="3"/>
              <w:jc w:val="left"/>
              <w:rPr>
                <w:sz w:val="24"/>
                <w:szCs w:val="24"/>
                <w:lang w:val="es-ES"/>
              </w:rPr>
            </w:pPr>
            <w:r w:rsidRPr="00C94420">
              <w:rPr>
                <w:sz w:val="24"/>
                <w:szCs w:val="24"/>
                <w:lang w:val="es-ES"/>
              </w:rPr>
              <w:t>Sub-Cláusula 1.</w:t>
            </w:r>
            <w:r w:rsidRPr="00C94420">
              <w:rPr>
                <w:sz w:val="24"/>
                <w:szCs w:val="24"/>
                <w:lang w:val="es-ES" w:eastAsia="ja-JP"/>
              </w:rPr>
              <w:t>6</w:t>
            </w:r>
            <w:r w:rsidRPr="00C94420">
              <w:rPr>
                <w:sz w:val="24"/>
                <w:szCs w:val="24"/>
                <w:lang w:val="es-ES"/>
              </w:rPr>
              <w:t xml:space="preserve"> </w:t>
            </w:r>
            <w:r w:rsidRPr="00C94420">
              <w:rPr>
                <w:sz w:val="24"/>
                <w:szCs w:val="24"/>
                <w:lang w:val="es-ES" w:eastAsia="ja-JP"/>
              </w:rPr>
              <w:t>(Entrada en Vigor del Convenio)</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deberán indicarse las otras condiciones para la entrada en vigor.]</w:t>
            </w:r>
          </w:p>
        </w:tc>
      </w:tr>
      <w:tr w:rsidR="005032B2" w:rsidRPr="00E21B26" w:rsidTr="00077CDE">
        <w:trPr>
          <w:trHeight w:val="1178"/>
        </w:trPr>
        <w:tc>
          <w:tcPr>
            <w:tcW w:w="2410" w:type="dxa"/>
          </w:tcPr>
          <w:p w:rsidR="005032B2" w:rsidRPr="00C94420" w:rsidRDefault="00077CDE">
            <w:pPr>
              <w:pStyle w:val="3"/>
              <w:jc w:val="left"/>
              <w:rPr>
                <w:sz w:val="24"/>
                <w:szCs w:val="24"/>
                <w:lang w:val="es-ES" w:eastAsia="ja-JP"/>
              </w:rPr>
            </w:pPr>
            <w:r w:rsidRPr="00C94420">
              <w:rPr>
                <w:sz w:val="24"/>
                <w:szCs w:val="24"/>
                <w:lang w:val="es-ES"/>
              </w:rPr>
              <w:t>Sub-Cláusula 1.</w:t>
            </w:r>
            <w:r w:rsidRPr="00C94420">
              <w:rPr>
                <w:sz w:val="24"/>
                <w:szCs w:val="24"/>
                <w:lang w:val="es-ES" w:eastAsia="ja-JP"/>
              </w:rPr>
              <w:t>9</w:t>
            </w:r>
          </w:p>
          <w:p w:rsidR="005032B2" w:rsidRPr="00C94420" w:rsidRDefault="00077CDE">
            <w:pPr>
              <w:pStyle w:val="3"/>
              <w:jc w:val="left"/>
              <w:rPr>
                <w:sz w:val="24"/>
                <w:szCs w:val="24"/>
                <w:lang w:val="es-ES"/>
              </w:rPr>
            </w:pPr>
            <w:r w:rsidRPr="00C94420">
              <w:rPr>
                <w:sz w:val="24"/>
                <w:szCs w:val="24"/>
                <w:lang w:val="es-ES" w:eastAsia="ja-JP"/>
              </w:rPr>
              <w:t>(Cumplimiento de la Legislación</w:t>
            </w:r>
            <w:r w:rsidRPr="00C94420">
              <w:rPr>
                <w:b w:val="0"/>
                <w:lang w:val="es-ES"/>
              </w:rPr>
              <w:t>)</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cualquier excepción salvo lo que se indica en el C/N y A/D.]</w:t>
            </w:r>
          </w:p>
          <w:p w:rsidR="005032B2" w:rsidRPr="00C94420" w:rsidRDefault="005032B2">
            <w:pPr>
              <w:rPr>
                <w:rFonts w:ascii="Times New Roman" w:hAnsi="Times New Roman"/>
                <w:i/>
                <w:lang w:val="es-ES"/>
              </w:rPr>
            </w:pPr>
          </w:p>
        </w:tc>
      </w:tr>
      <w:tr w:rsidR="005032B2" w:rsidRPr="00E21B26">
        <w:trPr>
          <w:trHeight w:val="1277"/>
        </w:trPr>
        <w:tc>
          <w:tcPr>
            <w:tcW w:w="2410" w:type="dxa"/>
          </w:tcPr>
          <w:p w:rsidR="005032B2" w:rsidRPr="00C94420" w:rsidRDefault="00077CDE">
            <w:pPr>
              <w:pStyle w:val="3"/>
              <w:jc w:val="left"/>
              <w:rPr>
                <w:sz w:val="24"/>
                <w:szCs w:val="24"/>
                <w:lang w:val="es-ES" w:eastAsia="ja-JP"/>
              </w:rPr>
            </w:pPr>
            <w:r w:rsidRPr="00C94420">
              <w:rPr>
                <w:sz w:val="24"/>
                <w:szCs w:val="24"/>
                <w:lang w:val="es-ES"/>
              </w:rPr>
              <w:t xml:space="preserve">Sub-Cláusula </w:t>
            </w:r>
            <w:r w:rsidRPr="00C94420">
              <w:rPr>
                <w:sz w:val="24"/>
                <w:szCs w:val="24"/>
                <w:lang w:val="es-ES" w:eastAsia="ja-JP"/>
              </w:rPr>
              <w:t>2.3(2)</w:t>
            </w:r>
          </w:p>
          <w:p w:rsidR="005032B2" w:rsidRPr="00C94420" w:rsidRDefault="00077CDE">
            <w:pPr>
              <w:pStyle w:val="3"/>
              <w:jc w:val="left"/>
              <w:rPr>
                <w:rFonts w:eastAsia="ＭＳ ゴシック"/>
                <w:sz w:val="24"/>
                <w:lang w:val="es-ES" w:eastAsia="ja-JP"/>
              </w:rPr>
            </w:pPr>
            <w:r w:rsidRPr="00C94420">
              <w:rPr>
                <w:sz w:val="24"/>
                <w:szCs w:val="24"/>
                <w:lang w:val="es-ES" w:eastAsia="ja-JP"/>
              </w:rPr>
              <w:t>(Trabajos de Instalación</w:t>
            </w:r>
            <w:r w:rsidRPr="00C94420">
              <w:rPr>
                <w:b w:val="0"/>
                <w:lang w:val="es-ES"/>
              </w:rPr>
              <w:t>)</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cualquier excepción a la obligación del nombramiento del representante residente bajo la Sub-Cláusula 2.3(2).]</w:t>
            </w:r>
          </w:p>
        </w:tc>
      </w:tr>
      <w:tr w:rsidR="005032B2" w:rsidRPr="00E21B26">
        <w:trPr>
          <w:trHeight w:val="1277"/>
        </w:trPr>
        <w:tc>
          <w:tcPr>
            <w:tcW w:w="2410" w:type="dxa"/>
          </w:tcPr>
          <w:p w:rsidR="005032B2" w:rsidRPr="00C94420" w:rsidRDefault="00077CDE">
            <w:pPr>
              <w:pStyle w:val="3"/>
              <w:jc w:val="left"/>
              <w:rPr>
                <w:sz w:val="24"/>
                <w:szCs w:val="24"/>
                <w:lang w:val="es-ES" w:eastAsia="ja-JP"/>
              </w:rPr>
            </w:pPr>
            <w:r w:rsidRPr="00C94420">
              <w:rPr>
                <w:sz w:val="24"/>
                <w:szCs w:val="24"/>
                <w:lang w:val="es-ES"/>
              </w:rPr>
              <w:t xml:space="preserve">Sub-Cláusula </w:t>
            </w:r>
            <w:r w:rsidRPr="00C94420">
              <w:rPr>
                <w:sz w:val="24"/>
                <w:szCs w:val="24"/>
                <w:lang w:val="es-ES" w:eastAsia="ja-JP"/>
              </w:rPr>
              <w:t xml:space="preserve">2.4(2) </w:t>
            </w:r>
          </w:p>
          <w:p w:rsidR="005032B2" w:rsidRPr="00C94420" w:rsidRDefault="00077CDE">
            <w:pPr>
              <w:pStyle w:val="3"/>
              <w:jc w:val="left"/>
              <w:rPr>
                <w:rFonts w:eastAsia="ＭＳ ゴシック"/>
                <w:sz w:val="24"/>
                <w:lang w:val="es-ES" w:eastAsia="ja-JP"/>
              </w:rPr>
            </w:pPr>
            <w:r w:rsidRPr="00C94420">
              <w:rPr>
                <w:sz w:val="24"/>
                <w:szCs w:val="24"/>
                <w:lang w:val="es-ES" w:eastAsia="ja-JP"/>
              </w:rPr>
              <w:t>(Instrucción de Operación</w:t>
            </w:r>
            <w:r w:rsidRPr="00C94420">
              <w:rPr>
                <w:b w:val="0"/>
                <w:lang w:val="es-ES"/>
              </w:rPr>
              <w:t>)</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cualquier excepción a la obligación del nombramiento del representante residente bajo la Sub-Cláusula 2.4(2).]</w:t>
            </w:r>
          </w:p>
        </w:tc>
      </w:tr>
      <w:tr w:rsidR="005032B2" w:rsidRPr="00E21B26">
        <w:trPr>
          <w:trHeight w:val="1277"/>
        </w:trPr>
        <w:tc>
          <w:tcPr>
            <w:tcW w:w="2410" w:type="dxa"/>
          </w:tcPr>
          <w:p w:rsidR="005032B2" w:rsidRPr="00C94420" w:rsidRDefault="00077CDE">
            <w:pPr>
              <w:pStyle w:val="3"/>
              <w:jc w:val="left"/>
              <w:rPr>
                <w:rFonts w:eastAsia="ＭＳ ゴシック"/>
                <w:sz w:val="24"/>
                <w:lang w:val="es-ES" w:eastAsia="ja-JP"/>
              </w:rPr>
            </w:pPr>
            <w:r w:rsidRPr="00C94420">
              <w:rPr>
                <w:rFonts w:eastAsia="ＭＳ ゴシック"/>
                <w:sz w:val="24"/>
                <w:lang w:val="es-ES" w:eastAsia="ja-JP"/>
              </w:rPr>
              <w:t>Sub-Cláusula 5.1(8)</w:t>
            </w:r>
          </w:p>
          <w:p w:rsidR="005032B2" w:rsidRPr="00C94420" w:rsidRDefault="00077CDE">
            <w:pPr>
              <w:jc w:val="left"/>
              <w:rPr>
                <w:rFonts w:ascii="Times New Roman" w:hAnsi="Times New Roman"/>
                <w:lang w:val="es-ES"/>
              </w:rPr>
            </w:pPr>
            <w:r w:rsidRPr="00C94420">
              <w:rPr>
                <w:rFonts w:ascii="Times New Roman" w:hAnsi="Times New Roman"/>
                <w:szCs w:val="24"/>
                <w:lang w:val="es-ES"/>
              </w:rPr>
              <w:t>(</w:t>
            </w:r>
            <w:r w:rsidRPr="00C94420">
              <w:rPr>
                <w:rFonts w:ascii="Times New Roman" w:hAnsi="Times New Roman"/>
                <w:b/>
                <w:lang w:val="es-ES"/>
              </w:rPr>
              <w:t>Obligaciones y Autoridad del Consultor)</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deberán indicarse los detalles de requerimientos sobre la aprobación del Comprador bajo la Sub-Cláusula 5.1(8).]</w:t>
            </w:r>
          </w:p>
        </w:tc>
      </w:tr>
      <w:tr w:rsidR="005032B2" w:rsidRPr="00E21B26" w:rsidTr="00077CDE">
        <w:trPr>
          <w:trHeight w:val="80"/>
        </w:trPr>
        <w:tc>
          <w:tcPr>
            <w:tcW w:w="2410" w:type="dxa"/>
          </w:tcPr>
          <w:p w:rsidR="005032B2" w:rsidRPr="00C94420" w:rsidRDefault="00077CDE">
            <w:pPr>
              <w:pStyle w:val="3"/>
              <w:jc w:val="left"/>
              <w:rPr>
                <w:rFonts w:eastAsia="ＭＳ ゴシック"/>
                <w:sz w:val="24"/>
                <w:lang w:val="es-ES" w:eastAsia="ja-JP"/>
              </w:rPr>
            </w:pPr>
            <w:r w:rsidRPr="00C94420">
              <w:rPr>
                <w:rFonts w:eastAsia="ＭＳ ゴシック"/>
                <w:sz w:val="24"/>
                <w:lang w:val="es-ES" w:eastAsia="ja-JP"/>
              </w:rPr>
              <w:t>Sub-Cláusula 6.1(5)</w:t>
            </w:r>
          </w:p>
          <w:p w:rsidR="005032B2" w:rsidRPr="00C94420" w:rsidRDefault="00077CDE">
            <w:pPr>
              <w:jc w:val="left"/>
              <w:rPr>
                <w:rFonts w:ascii="Times New Roman" w:hAnsi="Times New Roman"/>
                <w:b/>
                <w:lang w:val="es-ES"/>
              </w:rPr>
            </w:pPr>
            <w:r w:rsidRPr="00C94420">
              <w:rPr>
                <w:rFonts w:ascii="Times New Roman" w:hAnsi="Times New Roman"/>
                <w:szCs w:val="24"/>
                <w:lang w:val="es-ES"/>
              </w:rPr>
              <w:t>(</w:t>
            </w:r>
            <w:r w:rsidRPr="00C94420">
              <w:rPr>
                <w:rFonts w:ascii="Times New Roman" w:hAnsi="Times New Roman"/>
                <w:b/>
                <w:lang w:val="es-ES"/>
              </w:rPr>
              <w:t>Obligaciones Generales del Suministrador)</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cualquier  excepción a la responsabilidad del Suministrador bajo la Sub-Cláusula 6.1(5).]</w:t>
            </w:r>
          </w:p>
        </w:tc>
      </w:tr>
      <w:tr w:rsidR="005032B2" w:rsidRPr="00E21B26">
        <w:trPr>
          <w:trHeight w:val="1128"/>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lastRenderedPageBreak/>
              <w:t>Sub-Cláusula 6.2</w:t>
            </w:r>
          </w:p>
          <w:p w:rsidR="005032B2" w:rsidRPr="00C94420" w:rsidRDefault="00077CDE">
            <w:pPr>
              <w:jc w:val="left"/>
              <w:rPr>
                <w:rFonts w:ascii="Times New Roman" w:hAnsi="Times New Roman"/>
                <w:b/>
                <w:lang w:val="es-ES"/>
              </w:rPr>
            </w:pPr>
            <w:r w:rsidRPr="00C94420">
              <w:rPr>
                <w:szCs w:val="24"/>
                <w:lang w:val="es-ES"/>
              </w:rPr>
              <w:t>(</w:t>
            </w:r>
            <w:r w:rsidRPr="00C94420">
              <w:rPr>
                <w:rFonts w:ascii="Times New Roman" w:hAnsi="Times New Roman"/>
                <w:b/>
                <w:lang w:val="es-ES"/>
              </w:rPr>
              <w:t>Garantía de Cumplimiento)</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 xml:space="preserve">[Las siguientes disposiciones se reemplazarán si son aplicables bajo los documentos de licitación para el Proyecto o las Directrices Aplicables.] </w:t>
            </w:r>
          </w:p>
          <w:p w:rsidR="005032B2" w:rsidRPr="00C94420" w:rsidRDefault="005032B2">
            <w:pPr>
              <w:rPr>
                <w:rFonts w:ascii="Times New Roman" w:hAnsi="Times New Roman"/>
                <w:i/>
                <w:lang w:val="es-ES"/>
              </w:rPr>
            </w:pPr>
          </w:p>
          <w:p w:rsidR="005032B2" w:rsidRPr="00C94420" w:rsidRDefault="00077CDE">
            <w:pPr>
              <w:rPr>
                <w:rFonts w:ascii="Times New Roman" w:hAnsi="Times New Roman"/>
                <w:i/>
                <w:lang w:val="es-ES"/>
              </w:rPr>
            </w:pPr>
            <w:r w:rsidRPr="00C94420">
              <w:rPr>
                <w:rFonts w:ascii="Times New Roman" w:hAnsi="Times New Roman"/>
                <w:lang w:val="es-ES"/>
              </w:rPr>
              <w:t>Reemplazar “la terminación de los Trabajos finales bajo el Contrato, lo que será confirmado por (i) el certificado del recibo de los Equipos para la entrega final de los Equipos sujeto a la Sub-Cláusula 7.8, (ii) el Certificado de Terminación de los Trabajos de Instalación sujeto a la Sub-Cláusula 7.10, y (iii) el Certificado de Terminación de la Instrucción de Operación sujeto a la Sub-Cláusula 7.11” de la Sub-Cláusula 6.2(2) por “el fin del Plazo de Garantía.”</w:t>
            </w:r>
          </w:p>
        </w:tc>
      </w:tr>
      <w:tr w:rsidR="005032B2" w:rsidRPr="00E21B26">
        <w:trPr>
          <w:trHeight w:val="1128"/>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t>Sub-Cláusula 6.3(3)</w:t>
            </w:r>
          </w:p>
          <w:p w:rsidR="005032B2" w:rsidRPr="00C94420" w:rsidRDefault="00077CDE">
            <w:pPr>
              <w:jc w:val="left"/>
              <w:rPr>
                <w:rFonts w:ascii="Times New Roman" w:hAnsi="Times New Roman"/>
                <w:b/>
                <w:lang w:val="es-ES"/>
              </w:rPr>
            </w:pPr>
            <w:r w:rsidRPr="00C94420">
              <w:rPr>
                <w:szCs w:val="24"/>
                <w:lang w:val="es-ES"/>
              </w:rPr>
              <w:t>(</w:t>
            </w:r>
            <w:r w:rsidRPr="00C94420">
              <w:rPr>
                <w:rFonts w:ascii="Times New Roman" w:hAnsi="Times New Roman"/>
                <w:b/>
                <w:lang w:val="es-ES"/>
              </w:rPr>
              <w:t>Subcontratación)</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deberán indicarse los detalles de las excepciones a las obligaciones del Suministrador sobre los Subcontratistas bajo la Sub-Cláusula 6.3(3).]</w:t>
            </w:r>
          </w:p>
        </w:tc>
      </w:tr>
      <w:tr w:rsidR="005032B2" w:rsidRPr="00E21B26">
        <w:trPr>
          <w:trHeight w:val="1489"/>
        </w:trPr>
        <w:tc>
          <w:tcPr>
            <w:tcW w:w="2410" w:type="dxa"/>
          </w:tcPr>
          <w:p w:rsidR="005032B2" w:rsidRPr="00C94420" w:rsidRDefault="00077CDE">
            <w:pPr>
              <w:tabs>
                <w:tab w:val="right" w:pos="2194"/>
              </w:tabs>
              <w:jc w:val="left"/>
              <w:rPr>
                <w:rFonts w:ascii="Times New Roman" w:hAnsi="Times New Roman"/>
                <w:b/>
                <w:lang w:val="es-ES"/>
              </w:rPr>
            </w:pPr>
            <w:r w:rsidRPr="00C94420">
              <w:rPr>
                <w:rFonts w:ascii="Times New Roman" w:hAnsi="Times New Roman"/>
                <w:b/>
                <w:lang w:val="es-ES"/>
              </w:rPr>
              <w:t>Sub-Cláusula 7.1(1)</w:t>
            </w:r>
          </w:p>
          <w:p w:rsidR="005032B2" w:rsidRPr="00C94420" w:rsidRDefault="00077CDE">
            <w:pPr>
              <w:jc w:val="left"/>
              <w:rPr>
                <w:rFonts w:ascii="Times New Roman" w:hAnsi="Times New Roman"/>
                <w:b/>
                <w:lang w:val="es-ES"/>
              </w:rPr>
            </w:pPr>
            <w:r w:rsidRPr="00C94420">
              <w:rPr>
                <w:szCs w:val="24"/>
                <w:lang w:val="es-ES"/>
              </w:rPr>
              <w:t>(</w:t>
            </w:r>
            <w:r w:rsidRPr="00C94420">
              <w:rPr>
                <w:rFonts w:ascii="Times New Roman" w:hAnsi="Times New Roman"/>
                <w:b/>
                <w:lang w:val="es-ES"/>
              </w:rPr>
              <w:t>Inicio de los Trabajos)</w:t>
            </w:r>
          </w:p>
        </w:tc>
        <w:tc>
          <w:tcPr>
            <w:tcW w:w="6095" w:type="dxa"/>
          </w:tcPr>
          <w:p w:rsidR="005032B2" w:rsidRPr="00C94420" w:rsidRDefault="00077CDE">
            <w:pPr>
              <w:rPr>
                <w:rFonts w:ascii="Times New Roman" w:hAnsi="Times New Roman"/>
                <w:lang w:val="es-ES"/>
              </w:rPr>
            </w:pPr>
            <w:r w:rsidRPr="00C94420">
              <w:rPr>
                <w:rFonts w:ascii="Times New Roman" w:hAnsi="Times New Roman"/>
                <w:i/>
                <w:lang w:val="es-ES"/>
              </w:rPr>
              <w:t>[Cuando sea aplicable, deberán indicarse adiciones o excepciones a las condiciones del inicio de los Trabajos.]</w:t>
            </w:r>
          </w:p>
        </w:tc>
      </w:tr>
      <w:tr w:rsidR="005032B2" w:rsidRPr="00E21B26">
        <w:trPr>
          <w:trHeight w:val="284"/>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t>Sub-Cláusula 7.10(1)</w:t>
            </w:r>
          </w:p>
          <w:p w:rsidR="005032B2" w:rsidRPr="00C94420" w:rsidRDefault="00077CDE" w:rsidP="00077CDE">
            <w:pPr>
              <w:jc w:val="left"/>
              <w:rPr>
                <w:rFonts w:ascii="Times New Roman" w:hAnsi="Times New Roman"/>
                <w:b/>
                <w:lang w:val="es-ES"/>
              </w:rPr>
            </w:pPr>
            <w:r w:rsidRPr="00C94420">
              <w:rPr>
                <w:rFonts w:ascii="Times New Roman" w:hAnsi="Times New Roman"/>
                <w:b/>
                <w:lang w:val="es-ES"/>
              </w:rPr>
              <w:t>(</w:t>
            </w:r>
            <w:bookmarkStart w:id="0" w:name="_Toc459850239"/>
            <w:r w:rsidRPr="00C94420">
              <w:rPr>
                <w:rFonts w:ascii="Times New Roman" w:hAnsi="Times New Roman"/>
                <w:b/>
                <w:lang w:val="es-ES"/>
              </w:rPr>
              <w:t>Recepción de los Equipos para los Trabajos de Instalación</w:t>
            </w:r>
            <w:bookmarkEnd w:id="0"/>
            <w:r w:rsidRPr="00C94420">
              <w:rPr>
                <w:rFonts w:ascii="Times New Roman" w:hAnsi="Times New Roman"/>
                <w:b/>
                <w:lang w:val="es-ES"/>
              </w:rPr>
              <w:t>)</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cualquier excepción a los requerimientos de la recepción de los Equipos para los Trabajos de Instalación.]</w:t>
            </w:r>
          </w:p>
        </w:tc>
      </w:tr>
      <w:tr w:rsidR="005032B2" w:rsidRPr="00E21B26" w:rsidTr="00077CDE">
        <w:trPr>
          <w:trHeight w:val="1418"/>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t xml:space="preserve">Sub-Cláusula 8.3 </w:t>
            </w:r>
          </w:p>
          <w:p w:rsidR="005032B2" w:rsidRPr="00C94420" w:rsidRDefault="00077CDE">
            <w:pPr>
              <w:jc w:val="left"/>
              <w:rPr>
                <w:rFonts w:ascii="Times New Roman" w:hAnsi="Times New Roman"/>
                <w:b/>
                <w:lang w:val="es-ES"/>
              </w:rPr>
            </w:pPr>
            <w:r w:rsidRPr="00C94420">
              <w:rPr>
                <w:rFonts w:ascii="Times New Roman" w:hAnsi="Times New Roman"/>
                <w:b/>
                <w:lang w:val="es-ES"/>
              </w:rPr>
              <w:t>(Garantía de Pago Anticipado)</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 xml:space="preserve">[Cuando sea aplicable, las siguientes disposiciones u otras condiciones se insertarán y el detalle del pago anticipado se indicará en el Calendario de Pagos.] </w:t>
            </w:r>
          </w:p>
          <w:p w:rsidR="005032B2" w:rsidRPr="00C94420" w:rsidRDefault="005032B2">
            <w:pPr>
              <w:rPr>
                <w:rFonts w:ascii="Times New Roman" w:hAnsi="Times New Roman"/>
                <w:lang w:val="es-ES"/>
              </w:rPr>
            </w:pPr>
          </w:p>
          <w:p w:rsidR="005032B2" w:rsidRPr="00C94420" w:rsidRDefault="00077CDE">
            <w:pPr>
              <w:adjustRightInd w:val="0"/>
              <w:spacing w:line="260" w:lineRule="atLeast"/>
              <w:ind w:left="360" w:hangingChars="150" w:hanging="360"/>
              <w:textAlignment w:val="baseline"/>
              <w:rPr>
                <w:rFonts w:ascii="Times New Roman" w:eastAsia="ＭＳ 明朝" w:hAnsi="Times New Roman"/>
                <w:szCs w:val="21"/>
                <w:lang w:val="es-ES"/>
              </w:rPr>
            </w:pPr>
            <w:r w:rsidRPr="00C94420">
              <w:rPr>
                <w:rFonts w:ascii="Times New Roman" w:eastAsia="ＭＳ 明朝" w:hAnsi="Times New Roman"/>
                <w:szCs w:val="21"/>
                <w:lang w:val="es-ES"/>
              </w:rPr>
              <w:t xml:space="preserve">(1) Antes de solicitar el pago anticipado, el Suministrador proporcionará al Comprador una garantía de pago anticipado emitida por una institución financiera japonesa, la cual asegure cualquier suma anticipada por el Comprador. El Suministrador mantendrá la garantía de pago anticipado hasta la fecha de [la recepción de los Equipos por los cuales el pago anticipado se haya realizado/ </w:t>
            </w:r>
            <w:r w:rsidRPr="00C94420">
              <w:rPr>
                <w:rFonts w:ascii="Times New Roman" w:eastAsia="ＭＳ 明朝" w:hAnsi="Times New Roman"/>
                <w:i/>
                <w:szCs w:val="21"/>
                <w:lang w:val="es-ES"/>
              </w:rPr>
              <w:t>otras condiciones, si las hubiere</w:t>
            </w:r>
            <w:r w:rsidRPr="00C94420">
              <w:rPr>
                <w:rFonts w:ascii="Times New Roman" w:eastAsia="ＭＳ 明朝" w:hAnsi="Times New Roman"/>
                <w:szCs w:val="21"/>
                <w:lang w:val="es-ES"/>
              </w:rPr>
              <w:t>].</w:t>
            </w:r>
          </w:p>
          <w:p w:rsidR="005032B2" w:rsidRPr="00C94420" w:rsidRDefault="00077CDE">
            <w:pPr>
              <w:adjustRightInd w:val="0"/>
              <w:spacing w:line="260" w:lineRule="atLeast"/>
              <w:ind w:left="458" w:hangingChars="191" w:hanging="458"/>
              <w:textAlignment w:val="baseline"/>
              <w:rPr>
                <w:rFonts w:ascii="Times New Roman" w:eastAsia="ＭＳ 明朝" w:hAnsi="Times New Roman"/>
                <w:szCs w:val="21"/>
                <w:lang w:val="es-ES"/>
              </w:rPr>
            </w:pPr>
            <w:r w:rsidRPr="00C94420">
              <w:rPr>
                <w:rFonts w:ascii="Times New Roman" w:eastAsia="ＭＳ 明朝" w:hAnsi="Times New Roman"/>
                <w:szCs w:val="21"/>
                <w:lang w:val="es-ES"/>
              </w:rPr>
              <w:lastRenderedPageBreak/>
              <w:t>(2) El Consultor tendrá bajo su custodia la garantía de pago anticipado. El Consultor devolverá dicha garantía al Suministrador inmediatamente después de la fecha que se especifica en la Sub-Cláusula 8.3(1).</w:t>
            </w:r>
          </w:p>
        </w:tc>
      </w:tr>
      <w:tr w:rsidR="005032B2" w:rsidRPr="00E21B26">
        <w:trPr>
          <w:trHeight w:val="1989"/>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lastRenderedPageBreak/>
              <w:t>Sub-Cláusula 9.3 (Ajuste del Precio del Contrato)</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[Las siguientes disposiciones se añadirán al final de la Sub-Cláusula 9.3 si existe la contingencia de la Donación.]</w:t>
            </w:r>
          </w:p>
          <w:p w:rsidR="005032B2" w:rsidRPr="00C94420" w:rsidRDefault="00077CDE">
            <w:pPr>
              <w:rPr>
                <w:rFonts w:ascii="Times New Roman" w:hAnsi="Times New Roman"/>
                <w:lang w:val="es-ES"/>
              </w:rPr>
            </w:pPr>
            <w:r w:rsidRPr="00C94420">
              <w:rPr>
                <w:rFonts w:ascii="Times New Roman" w:hAnsi="Times New Roman"/>
                <w:lang w:val="es-ES"/>
              </w:rPr>
              <w:t xml:space="preserve">El ajuste del Precio del Contrato bajo esta Sub-Cláusula 9.3 se basará en el precio unitario de acuerdo con los siguientes: </w:t>
            </w:r>
          </w:p>
          <w:p w:rsidR="005032B2" w:rsidRPr="00C94420" w:rsidRDefault="00077CDE">
            <w:pPr>
              <w:rPr>
                <w:rFonts w:ascii="Times New Roman" w:hAnsi="Times New Roman"/>
                <w:lang w:val="es-ES"/>
              </w:rPr>
            </w:pPr>
            <w:r w:rsidRPr="00C94420">
              <w:rPr>
                <w:rFonts w:ascii="Times New Roman" w:hAnsi="Times New Roman"/>
                <w:lang w:val="es-ES"/>
              </w:rPr>
              <w:t>(a)</w:t>
            </w:r>
            <w:r w:rsidRPr="00C94420">
              <w:rPr>
                <w:rFonts w:ascii="Times New Roman" w:hAnsi="Times New Roman"/>
                <w:lang w:val="es-ES"/>
              </w:rPr>
              <w:tab/>
              <w:t xml:space="preserve">El Comprador y el Suministrador acordarán y ajustarán el precio unitario en el Formulario de Confirmación de Precio para los Trabajos de Instalación de acuerdo con las Directrices Aplicables;   </w:t>
            </w:r>
          </w:p>
          <w:p w:rsidR="005032B2" w:rsidRPr="00C94420" w:rsidRDefault="00077CDE">
            <w:pPr>
              <w:rPr>
                <w:rFonts w:ascii="Times New Roman" w:hAnsi="Times New Roman"/>
                <w:lang w:val="es-ES"/>
              </w:rPr>
            </w:pPr>
            <w:r w:rsidRPr="00C94420">
              <w:rPr>
                <w:rFonts w:ascii="Times New Roman" w:hAnsi="Times New Roman"/>
                <w:lang w:val="es-ES"/>
              </w:rPr>
              <w:t>(b)</w:t>
            </w:r>
            <w:r w:rsidRPr="00C94420">
              <w:rPr>
                <w:rFonts w:ascii="Times New Roman" w:hAnsi="Times New Roman"/>
                <w:lang w:val="es-ES"/>
              </w:rPr>
              <w:tab/>
              <w:t>El precio unitario en el Formulario de Confirmación de Precio será usado exclusivamente para la base del ajuste del Precio del Contrato conforme a la Cláusula 9 (MODIFICACIONES); y</w:t>
            </w:r>
          </w:p>
          <w:p w:rsidR="005032B2" w:rsidRPr="00C94420" w:rsidRDefault="00077CDE">
            <w:pPr>
              <w:rPr>
                <w:rFonts w:ascii="Times New Roman" w:hAnsi="Times New Roman"/>
                <w:i/>
                <w:lang w:val="es-ES"/>
              </w:rPr>
            </w:pPr>
            <w:r w:rsidRPr="00C94420">
              <w:rPr>
                <w:rFonts w:ascii="Times New Roman" w:hAnsi="Times New Roman"/>
                <w:lang w:val="es-ES"/>
              </w:rPr>
              <w:t>(c)    El Comprador y el Suministrador acordarán y ajustarán los precios iniciales de materiales especificados en los documentos de licitación para los Trabajos de Instalación (si es aplicable) de acuerdo con las Directrices Aplicables.</w:t>
            </w:r>
          </w:p>
        </w:tc>
      </w:tr>
      <w:tr w:rsidR="005032B2" w:rsidRPr="00E21B26">
        <w:trPr>
          <w:trHeight w:val="1180"/>
        </w:trPr>
        <w:tc>
          <w:tcPr>
            <w:tcW w:w="2410" w:type="dxa"/>
          </w:tcPr>
          <w:p w:rsidR="005032B2" w:rsidRPr="00C94420" w:rsidRDefault="00077CDE">
            <w:pPr>
              <w:jc w:val="left"/>
              <w:rPr>
                <w:rFonts w:ascii="Times New Roman" w:hAnsi="Times New Roman"/>
                <w:b/>
                <w:lang w:val="es-ES"/>
              </w:rPr>
            </w:pPr>
            <w:r w:rsidRPr="00C94420">
              <w:rPr>
                <w:rFonts w:ascii="Times New Roman" w:hAnsi="Times New Roman"/>
                <w:b/>
                <w:lang w:val="es-ES"/>
              </w:rPr>
              <w:t>Sub-Cláusula 10.1(3)</w:t>
            </w:r>
          </w:p>
          <w:p w:rsidR="005032B2" w:rsidRPr="00C94420" w:rsidRDefault="00077CDE">
            <w:pPr>
              <w:jc w:val="left"/>
              <w:rPr>
                <w:rFonts w:ascii="Times New Roman" w:hAnsi="Times New Roman"/>
                <w:b/>
                <w:lang w:val="es-ES"/>
              </w:rPr>
            </w:pPr>
            <w:r w:rsidRPr="00C94420">
              <w:rPr>
                <w:rFonts w:ascii="Times New Roman" w:hAnsi="Times New Roman"/>
                <w:b/>
                <w:lang w:val="es-ES"/>
              </w:rPr>
              <w:t>(Garantía de los Equipos)</w:t>
            </w:r>
          </w:p>
        </w:tc>
        <w:tc>
          <w:tcPr>
            <w:tcW w:w="6095" w:type="dxa"/>
          </w:tcPr>
          <w:p w:rsidR="005032B2" w:rsidRPr="00C94420" w:rsidRDefault="00077CDE">
            <w:pPr>
              <w:rPr>
                <w:rFonts w:ascii="Times New Roman" w:hAnsi="Times New Roman"/>
                <w:i/>
                <w:lang w:val="es-ES"/>
              </w:rPr>
            </w:pPr>
            <w:r w:rsidRPr="00C94420">
              <w:rPr>
                <w:rFonts w:ascii="Times New Roman" w:hAnsi="Times New Roman"/>
                <w:i/>
                <w:lang w:val="es-ES"/>
              </w:rPr>
              <w:t>[Cuando sea aplicable, deberá indicarse la excepción al Plazo de Garantía.]</w:t>
            </w:r>
          </w:p>
        </w:tc>
      </w:tr>
      <w:tr w:rsidR="00E21B26" w:rsidRPr="00E21B26">
        <w:trPr>
          <w:trHeight w:val="1180"/>
        </w:trPr>
        <w:tc>
          <w:tcPr>
            <w:tcW w:w="2410" w:type="dxa"/>
          </w:tcPr>
          <w:p w:rsidR="00E21B26" w:rsidRPr="00FC3302" w:rsidRDefault="00E21B26" w:rsidP="00E21B26">
            <w:pPr>
              <w:rPr>
                <w:rFonts w:ascii="Times New Roman" w:hAnsi="Times New Roman"/>
                <w:b/>
                <w:lang w:val="es-419"/>
              </w:rPr>
            </w:pPr>
            <w:r w:rsidRPr="00FC3302">
              <w:rPr>
                <w:rFonts w:ascii="Times New Roman" w:hAnsi="Times New Roman"/>
                <w:b/>
                <w:lang w:val="es-419"/>
              </w:rPr>
              <w:t>Sub-Cláusul</w:t>
            </w:r>
            <w:bookmarkStart w:id="1" w:name="_GoBack"/>
            <w:bookmarkEnd w:id="1"/>
            <w:r w:rsidRPr="00FC3302">
              <w:rPr>
                <w:rFonts w:ascii="Times New Roman" w:hAnsi="Times New Roman"/>
                <w:b/>
                <w:lang w:val="es-419"/>
              </w:rPr>
              <w:t>a</w:t>
            </w:r>
            <w:r>
              <w:rPr>
                <w:rFonts w:ascii="Times New Roman" w:hAnsi="Times New Roman"/>
                <w:b/>
                <w:lang w:val="es-ES"/>
              </w:rPr>
              <w:t xml:space="preserve"> </w:t>
            </w:r>
            <w:r>
              <w:rPr>
                <w:rFonts w:ascii="Times New Roman" w:hAnsi="Times New Roman"/>
                <w:b/>
                <w:lang w:val="es-419"/>
              </w:rPr>
              <w:t>1</w:t>
            </w:r>
            <w:r>
              <w:rPr>
                <w:rFonts w:ascii="Times New Roman" w:hAnsi="Times New Roman" w:hint="eastAsia"/>
                <w:b/>
                <w:lang w:val="es-419"/>
              </w:rPr>
              <w:t>4</w:t>
            </w:r>
            <w:r w:rsidRPr="00FC3302">
              <w:rPr>
                <w:rFonts w:ascii="Times New Roman" w:hAnsi="Times New Roman"/>
                <w:b/>
                <w:lang w:val="es-419"/>
              </w:rPr>
              <w:t>.3(4)</w:t>
            </w:r>
          </w:p>
          <w:p w:rsidR="00E21B26" w:rsidRPr="00C94420" w:rsidRDefault="00E21B26" w:rsidP="00E21B26">
            <w:pPr>
              <w:jc w:val="left"/>
              <w:rPr>
                <w:rFonts w:ascii="Times New Roman" w:hAnsi="Times New Roman"/>
                <w:b/>
                <w:lang w:val="es-ES"/>
              </w:rPr>
            </w:pPr>
            <w:r w:rsidRPr="00FC3302">
              <w:rPr>
                <w:szCs w:val="24"/>
                <w:lang w:val="es-419"/>
              </w:rPr>
              <w:t>(</w:t>
            </w:r>
            <w:r>
              <w:rPr>
                <w:rFonts w:ascii="Times New Roman" w:hAnsi="Times New Roman"/>
                <w:b/>
                <w:lang w:val="es-419"/>
              </w:rPr>
              <w:t>Solución</w:t>
            </w:r>
            <w:r w:rsidRPr="00FC3302">
              <w:rPr>
                <w:rFonts w:ascii="Times New Roman" w:hAnsi="Times New Roman"/>
                <w:b/>
                <w:lang w:val="es-419"/>
              </w:rPr>
              <w:t xml:space="preserve"> y Arbitraje)</w:t>
            </w:r>
          </w:p>
        </w:tc>
        <w:tc>
          <w:tcPr>
            <w:tcW w:w="6095" w:type="dxa"/>
          </w:tcPr>
          <w:p w:rsidR="00E21B26" w:rsidRPr="001862B3" w:rsidRDefault="00E21B26" w:rsidP="00E21B26">
            <w:pPr>
              <w:widowControl/>
              <w:rPr>
                <w:rFonts w:ascii="Times New Roman" w:eastAsia="UD デジタル 教科書体 NK-R" w:hAnsi="Times New Roman"/>
                <w:i/>
                <w:lang w:val="es-419"/>
              </w:rPr>
            </w:pPr>
            <w:r w:rsidRPr="00FC3302">
              <w:rPr>
                <w:rFonts w:ascii="Times New Roman" w:hAnsi="Times New Roman"/>
                <w:i/>
                <w:lang w:val="es-419"/>
              </w:rPr>
              <w:t>[</w:t>
            </w:r>
            <w:r w:rsidRPr="00AF21CF">
              <w:rPr>
                <w:rFonts w:ascii="Times New Roman" w:hAnsi="Times New Roman"/>
                <w:i/>
                <w:lang w:val="es-ES"/>
              </w:rPr>
              <w:t xml:space="preserve">La siguiente </w:t>
            </w:r>
            <w:r w:rsidRPr="00FC3302">
              <w:rPr>
                <w:rFonts w:ascii="Times New Roman" w:hAnsi="Times New Roman"/>
                <w:i/>
                <w:lang w:val="es-419"/>
              </w:rPr>
              <w:t>frase</w:t>
            </w:r>
            <w:r w:rsidRPr="00AF21CF">
              <w:rPr>
                <w:rFonts w:ascii="Times New Roman" w:hAnsi="Times New Roman"/>
                <w:i/>
                <w:lang w:val="es-ES"/>
              </w:rPr>
              <w:t xml:space="preserve"> se reemplazará si es aplicable</w:t>
            </w:r>
            <w:r>
              <w:rPr>
                <w:rFonts w:ascii="Times New Roman" w:hAnsi="Times New Roman"/>
                <w:i/>
                <w:lang w:val="es-ES"/>
              </w:rPr>
              <w:t>.</w:t>
            </w:r>
            <w:r w:rsidRPr="00FC3302">
              <w:rPr>
                <w:rFonts w:ascii="Times New Roman" w:eastAsia="UD デジタル 教科書体 NK-R" w:hAnsi="Times New Roman"/>
                <w:i/>
                <w:lang w:val="es-419"/>
              </w:rPr>
              <w:t>]</w:t>
            </w:r>
          </w:p>
          <w:p w:rsidR="00E21B26" w:rsidRDefault="00E21B26" w:rsidP="00E21B26">
            <w:pPr>
              <w:rPr>
                <w:rFonts w:ascii="Times New Roman" w:eastAsia="UD デジタル 教科書体 NK-R" w:hAnsi="Times New Roman"/>
                <w:lang w:val="es-419"/>
              </w:rPr>
            </w:pPr>
            <w:r w:rsidRPr="00FC3302">
              <w:rPr>
                <w:rFonts w:ascii="Times New Roman" w:eastAsia="UD デジタル 教科書体 NK-R" w:hAnsi="Times New Roman"/>
                <w:lang w:val="es-419"/>
              </w:rPr>
              <w:t>Reemplazar “Dicho arbitraje será internacional y administrado por la Cámara de Comercio Internacional (CCI), y realizado bajo el Reglamento de Arbitraje de la CCI.</w:t>
            </w:r>
            <w:r>
              <w:rPr>
                <w:rFonts w:ascii="Times New Roman" w:eastAsia="UD デジタル 教科書体 NK-R" w:hAnsi="Times New Roman"/>
                <w:lang w:val="es-419"/>
              </w:rPr>
              <w:t>”</w:t>
            </w:r>
            <w:r w:rsidRPr="00FC3302">
              <w:rPr>
                <w:rFonts w:ascii="Times New Roman" w:eastAsia="UD デジタル 教科書体 NK-R" w:hAnsi="Times New Roman"/>
                <w:lang w:val="es-419"/>
              </w:rPr>
              <w:t xml:space="preserve"> de la Sub-</w:t>
            </w:r>
            <w:r>
              <w:rPr>
                <w:rFonts w:ascii="Times New Roman" w:eastAsia="UD デジタル 教科書体 NK-R" w:hAnsi="Times New Roman"/>
                <w:lang w:val="es-419"/>
              </w:rPr>
              <w:t>C</w:t>
            </w:r>
            <w:r w:rsidRPr="00FC3302">
              <w:rPr>
                <w:rFonts w:ascii="Times New Roman" w:eastAsia="UD デジタル 教科書体 NK-R" w:hAnsi="Times New Roman"/>
                <w:lang w:val="es-419"/>
              </w:rPr>
              <w:t>láus</w:t>
            </w:r>
            <w:r>
              <w:rPr>
                <w:rFonts w:ascii="Times New Roman" w:eastAsia="UD デジタル 教科書体 NK-R" w:hAnsi="Times New Roman"/>
                <w:lang w:val="es-419"/>
              </w:rPr>
              <w:t>u</w:t>
            </w:r>
            <w:r w:rsidRPr="00FC3302">
              <w:rPr>
                <w:rFonts w:ascii="Times New Roman" w:eastAsia="UD デジタル 教科書体 NK-R" w:hAnsi="Times New Roman"/>
                <w:lang w:val="es-419"/>
              </w:rPr>
              <w:t>la</w:t>
            </w:r>
            <w:r>
              <w:rPr>
                <w:rFonts w:ascii="Times New Roman" w:eastAsia="UD デジタル 教科書体 NK-R" w:hAnsi="Times New Roman"/>
                <w:lang w:val="es-419"/>
              </w:rPr>
              <w:t xml:space="preserve"> 14</w:t>
            </w:r>
            <w:r w:rsidRPr="00FC3302">
              <w:rPr>
                <w:rFonts w:ascii="Times New Roman" w:eastAsia="UD デジタル 教科書体 NK-R" w:hAnsi="Times New Roman"/>
                <w:lang w:val="es-419"/>
              </w:rPr>
              <w:t xml:space="preserve">.3(4) </w:t>
            </w:r>
          </w:p>
          <w:p w:rsidR="00E21B26" w:rsidRPr="00C94420" w:rsidRDefault="00E21B26" w:rsidP="00E21B26">
            <w:pPr>
              <w:rPr>
                <w:rFonts w:ascii="Times New Roman" w:hAnsi="Times New Roman"/>
                <w:i/>
                <w:lang w:val="es-ES"/>
              </w:rPr>
            </w:pPr>
            <w:r>
              <w:rPr>
                <w:rFonts w:ascii="Times New Roman" w:eastAsia="UD デジタル 教科書体 NK-R" w:hAnsi="Times New Roman"/>
                <w:lang w:val="es-419"/>
              </w:rPr>
              <w:t>por</w:t>
            </w:r>
            <w:r w:rsidRPr="00FC3302">
              <w:rPr>
                <w:rFonts w:ascii="Times New Roman" w:eastAsia="UD デジタル 教科書体 NK-R" w:hAnsi="Times New Roman"/>
                <w:lang w:val="es-419"/>
              </w:rPr>
              <w:t xml:space="preserve"> “Dicho arbitraje será arbitraje internacional (1) con procedimientos administrados por la institución de arbitraje designada en los Datos del Contrato y de conformidad con las normas de arbitraje de dicha institución, o bien, si así se especifica en los Datos del Contrato, (2) con procedimientos administrados por la A</w:t>
            </w:r>
            <w:r>
              <w:rPr>
                <w:rFonts w:ascii="Times New Roman" w:eastAsia="UD デジタル 教科書体 NK-R" w:hAnsi="Times New Roman"/>
                <w:lang w:val="es-419"/>
              </w:rPr>
              <w:t xml:space="preserve">sociación Japonesa </w:t>
            </w:r>
            <w:r w:rsidRPr="00FC3302">
              <w:rPr>
                <w:rFonts w:ascii="Times New Roman" w:eastAsia="UD デジタル 教科書体 NK-R" w:hAnsi="Times New Roman"/>
                <w:lang w:val="es-419"/>
              </w:rPr>
              <w:t>de Arbitraje Comercial (JCAA por sus siglas en inglés) y de conformidad con las normas de arbitraje de la</w:t>
            </w:r>
            <w:r w:rsidRPr="00FC3302">
              <w:rPr>
                <w:rFonts w:ascii="Times New Roman" w:eastAsia="UD デジタル 教科書体 NK-R" w:hAnsi="Times New Roman"/>
                <w:szCs w:val="24"/>
                <w:lang w:val="es-419"/>
              </w:rPr>
              <w:t xml:space="preserve"> JCAA; o (3) si, en los Datos </w:t>
            </w:r>
            <w:r w:rsidRPr="00FC3302">
              <w:rPr>
                <w:rFonts w:ascii="Times New Roman" w:eastAsia="UD デジタル 教科書体 NK-R" w:hAnsi="Times New Roman"/>
                <w:szCs w:val="24"/>
                <w:lang w:val="es-419"/>
              </w:rPr>
              <w:lastRenderedPageBreak/>
              <w:t xml:space="preserve">del Contrato, no se especifica ninguna institución de arbitraje </w:t>
            </w:r>
            <w:r>
              <w:rPr>
                <w:rFonts w:ascii="Times New Roman" w:eastAsia="UD デジタル 教科書体 NK-R" w:hAnsi="Times New Roman"/>
                <w:szCs w:val="24"/>
                <w:lang w:val="es-419"/>
              </w:rPr>
              <w:t>ni</w:t>
            </w:r>
            <w:r w:rsidRPr="00FC3302">
              <w:rPr>
                <w:rFonts w:ascii="Times New Roman" w:eastAsia="UD デジタル 教科書体 NK-R" w:hAnsi="Times New Roman"/>
                <w:szCs w:val="24"/>
                <w:lang w:val="es-419"/>
              </w:rPr>
              <w:t xml:space="preserve"> normas de arbitraje, mediante procedimientos administrados por la Cámara de Comercio Internacional (CCI) bajo el Reglamento de Arbitraje de la CCI.”</w:t>
            </w:r>
          </w:p>
        </w:tc>
      </w:tr>
    </w:tbl>
    <w:p w:rsidR="005032B2" w:rsidRPr="00C94420" w:rsidRDefault="005032B2">
      <w:pPr>
        <w:rPr>
          <w:rFonts w:ascii="Times New Roman" w:hAnsi="Times New Roman"/>
          <w:lang w:val="es-ES"/>
        </w:rPr>
      </w:pPr>
    </w:p>
    <w:sectPr w:rsidR="005032B2" w:rsidRPr="00C9442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B2" w:rsidRDefault="00077CDE">
      <w:r>
        <w:separator/>
      </w:r>
    </w:p>
  </w:endnote>
  <w:endnote w:type="continuationSeparator" w:id="0">
    <w:p w:rsidR="005032B2" w:rsidRDefault="0007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1" w:rsidRDefault="007C160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69332"/>
      <w:docPartObj>
        <w:docPartGallery w:val="Page Numbers (Bottom of Page)"/>
        <w:docPartUnique/>
      </w:docPartObj>
    </w:sdtPr>
    <w:sdtEndPr>
      <w:rPr>
        <w:rFonts w:ascii="Times New Roman" w:hAnsi="Times New Roman"/>
      </w:rPr>
    </w:sdtEndPr>
    <w:sdtContent>
      <w:p w:rsidR="005032B2" w:rsidRDefault="00077CDE">
        <w:pPr>
          <w:pStyle w:val="a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1692C" w:rsidRPr="00D1692C">
          <w:rPr>
            <w:rFonts w:ascii="Times New Roman" w:hAnsi="Times New Roman"/>
            <w:noProof/>
            <w:lang w:val="ja-JP"/>
          </w:rPr>
          <w:t>4</w:t>
        </w:r>
        <w:r>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1" w:rsidRDefault="007C160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B2" w:rsidRDefault="00077CDE">
      <w:r>
        <w:separator/>
      </w:r>
    </w:p>
  </w:footnote>
  <w:footnote w:type="continuationSeparator" w:id="0">
    <w:p w:rsidR="005032B2" w:rsidRDefault="0007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1" w:rsidRDefault="007C160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1" w:rsidRDefault="007C160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1" w:rsidRDefault="007C160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026"/>
    <w:multiLevelType w:val="hybridMultilevel"/>
    <w:tmpl w:val="191CC19C"/>
    <w:lvl w:ilvl="0" w:tplc="47644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017F0"/>
    <w:multiLevelType w:val="hybridMultilevel"/>
    <w:tmpl w:val="22A46EAE"/>
    <w:lvl w:ilvl="0" w:tplc="CFF0E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F5C71"/>
    <w:multiLevelType w:val="multilevel"/>
    <w:tmpl w:val="D48E0DB4"/>
    <w:lvl w:ilvl="0">
      <w:start w:val="1"/>
      <w:numFmt w:val="decimal"/>
      <w:lvlText w:val="Clause %1"/>
      <w:lvlJc w:val="left"/>
      <w:pPr>
        <w:ind w:left="510" w:hanging="510"/>
      </w:pPr>
      <w:rPr>
        <w:rFonts w:ascii="Times New Roman" w:hAnsi="Times New Roman" w:hint="default"/>
        <w:b/>
        <w:i w:val="0"/>
        <w:sz w:val="22"/>
        <w:szCs w:val="22"/>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D4B4416"/>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4EC78CC"/>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es-BO" w:vendorID="64" w:dllVersion="131078" w:nlCheck="1" w:checkStyle="1"/>
  <w:activeWritingStyle w:appName="MSWord" w:lang="es-ES" w:vendorID="64" w:dllVersion="131078" w:nlCheck="1" w:checkStyle="0"/>
  <w:activeWritingStyle w:appName="MSWord" w:lang="es-419" w:vendorID="64" w:dllVersion="131078" w:nlCheck="1" w:checkStyle="0"/>
  <w:proofState w:spelling="clean" w:grammar="clean"/>
  <w:trackRevision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2"/>
    <w:rsid w:val="00077CDE"/>
    <w:rsid w:val="004C3D02"/>
    <w:rsid w:val="005032B2"/>
    <w:rsid w:val="00647BAD"/>
    <w:rsid w:val="007C1601"/>
    <w:rsid w:val="00C94420"/>
    <w:rsid w:val="00D1692C"/>
    <w:rsid w:val="00E21B26"/>
    <w:rsid w:val="00E9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77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paragraph" w:styleId="3">
    <w:name w:val="heading 3"/>
    <w:aliases w:val="Section Header3,ClauseSub_No&amp;Name,Heading 3 Char,Section Header3 Char Char"/>
    <w:basedOn w:val="a"/>
    <w:next w:val="a"/>
    <w:link w:val="30"/>
    <w:qFormat/>
    <w:pPr>
      <w:widowControl/>
      <w:suppressAutoHyphens/>
      <w:jc w:val="center"/>
      <w:outlineLvl w:val="2"/>
    </w:pPr>
    <w:rPr>
      <w:rFonts w:ascii="Times New Roman" w:eastAsia="ＭＳ 明朝" w:hAnsi="Times New Roman"/>
      <w:b/>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lanatorynotes">
    <w:name w:val="explanatory_notes"/>
    <w:basedOn w:val="a"/>
    <w:pPr>
      <w:widowControl/>
      <w:suppressAutoHyphens/>
      <w:spacing w:after="240" w:line="360" w:lineRule="exact"/>
    </w:pPr>
    <w:rPr>
      <w:rFonts w:eastAsia="ＭＳ 明朝"/>
      <w:lang w:val="en-GB" w:eastAsia="en-US"/>
    </w:rPr>
  </w:style>
  <w:style w:type="character" w:customStyle="1" w:styleId="30">
    <w:name w:val="見出し 3 (文字)"/>
    <w:aliases w:val="Section Header3 (文字),ClauseSub_No&amp;Name (文字),Heading 3 Char (文字),Section Header3 Char Char (文字)"/>
    <w:link w:val="3"/>
    <w:rPr>
      <w:rFonts w:ascii="Times New Roman" w:eastAsia="ＭＳ 明朝" w:hAnsi="Times New Roman"/>
      <w:b/>
      <w:sz w:val="28"/>
      <w:lang w:val="en-GB" w:eastAsia="en-US"/>
    </w:rPr>
  </w:style>
  <w:style w:type="paragraph" w:customStyle="1" w:styleId="ClauseSubPara">
    <w:name w:val="ClauseSub_Para"/>
    <w:pPr>
      <w:spacing w:before="60" w:after="60"/>
      <w:ind w:left="2268"/>
    </w:pPr>
    <w:rPr>
      <w:rFonts w:ascii="Times New Roman" w:eastAsia="ＭＳ 明朝" w:hAnsi="Times New Roman"/>
      <w:sz w:val="22"/>
      <w:szCs w:val="22"/>
      <w:lang w:val="en-GB" w:eastAsia="en-US"/>
    </w:rPr>
  </w:style>
  <w:style w:type="character" w:styleId="a3">
    <w:name w:val="annotation reference"/>
    <w:semiHidden/>
    <w:unhideWhenUsed/>
    <w:rPr>
      <w:sz w:val="18"/>
      <w:szCs w:val="18"/>
    </w:rPr>
  </w:style>
  <w:style w:type="paragraph" w:styleId="a4">
    <w:name w:val="annotation text"/>
    <w:basedOn w:val="a"/>
    <w:link w:val="a5"/>
    <w:semiHidden/>
    <w:unhideWhenUsed/>
    <w:pPr>
      <w:jc w:val="left"/>
    </w:pPr>
  </w:style>
  <w:style w:type="character" w:customStyle="1" w:styleId="a5">
    <w:name w:val="コメント文字列 (文字)"/>
    <w:link w:val="a4"/>
    <w:semiHidden/>
    <w:rPr>
      <w:sz w:val="24"/>
    </w:rPr>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sz w:val="24"/>
    </w:rPr>
  </w:style>
  <w:style w:type="paragraph" w:styleId="a8">
    <w:name w:val="Balloon Text"/>
    <w:basedOn w:val="a"/>
    <w:link w:val="a9"/>
    <w:uiPriority w:val="99"/>
    <w:semiHidden/>
    <w:unhideWhenUsed/>
    <w:rPr>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Revision"/>
    <w:hidden/>
    <w:uiPriority w:val="99"/>
    <w:semiHidden/>
    <w:rPr>
      <w:sz w:val="24"/>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link w:val="ab"/>
    <w:uiPriority w:val="99"/>
    <w:rPr>
      <w:sz w:val="24"/>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link w:val="ad"/>
    <w:uiPriority w:val="99"/>
    <w:rPr>
      <w:sz w:val="24"/>
    </w:rPr>
  </w:style>
  <w:style w:type="paragraph" w:styleId="af">
    <w:name w:val="List Paragraph"/>
    <w:basedOn w:val="a"/>
    <w:uiPriority w:val="99"/>
    <w:qFormat/>
    <w:pPr>
      <w:widowControl/>
      <w:spacing w:line="240" w:lineRule="atLeast"/>
      <w:ind w:leftChars="400" w:left="840"/>
      <w:jc w:val="left"/>
    </w:pPr>
    <w:rPr>
      <w:rFonts w:ascii="Century" w:eastAsia="Mincho"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2020-01-28T03:11:00Z</dcterms:created>
  <dcterms:modified xsi:type="dcterms:W3CDTF">2020-01-28T03:12:00Z</dcterms:modified>
</cp:coreProperties>
</file>