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C87FC0" w:rsidRDefault="00C87FC0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C87FC0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</w:t>
      </w:r>
      <w:r w:rsidRPr="00C87FC0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Pesquisa de Mercado</w:t>
      </w:r>
    </w:p>
    <w:p w:rsidR="008B4467" w:rsidRPr="00C87FC0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p w:rsidR="008B4467" w:rsidRPr="006C6ABC" w:rsidRDefault="00C87FC0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6C6ABC">
        <w:rPr>
          <w:rFonts w:ascii="Times New Roman" w:hAnsi="Times New Roman" w:cs="Times New Roman" w:hint="eastAsia"/>
          <w:szCs w:val="21"/>
          <w:u w:val="single"/>
          <w:lang w:val="pt-PT"/>
        </w:rPr>
        <w:t>N</w:t>
      </w:r>
      <w:r w:rsidRPr="006C6ABC">
        <w:rPr>
          <w:rFonts w:ascii="Times New Roman" w:hAnsi="Times New Roman" w:cs="Times New Roman"/>
          <w:szCs w:val="21"/>
          <w:u w:val="single"/>
          <w:lang w:val="pt-PT"/>
        </w:rPr>
        <w:t>o</w:t>
      </w:r>
      <w:r w:rsidR="008B4467" w:rsidRPr="006C6ABC">
        <w:rPr>
          <w:rFonts w:ascii="Times New Roman" w:hAnsi="Times New Roman" w:cs="Times New Roman" w:hint="eastAsia"/>
          <w:szCs w:val="21"/>
          <w:u w:val="single"/>
          <w:lang w:val="pt-PT"/>
        </w:rPr>
        <w:t>me:</w:t>
      </w:r>
      <w:r w:rsidR="008B4467" w:rsidRPr="006C6ABC">
        <w:rPr>
          <w:rFonts w:ascii="Times New Roman" w:hAnsi="Times New Roman" w:cs="Times New Roman"/>
          <w:szCs w:val="21"/>
          <w:u w:val="single"/>
          <w:lang w:val="pt-PT"/>
        </w:rPr>
        <w:t xml:space="preserve">      </w:t>
      </w:r>
      <w:r w:rsidR="00917185" w:rsidRPr="006C6ABC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="008B4467" w:rsidRPr="006C6ABC">
        <w:rPr>
          <w:rFonts w:ascii="Times New Roman" w:hAnsi="Times New Roman" w:cs="Times New Roman"/>
          <w:szCs w:val="21"/>
          <w:u w:val="single"/>
          <w:lang w:val="pt-PT"/>
        </w:rPr>
        <w:t xml:space="preserve">                                   </w:t>
      </w:r>
    </w:p>
    <w:p w:rsidR="00917185" w:rsidRPr="00C87FC0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C87FC0">
        <w:rPr>
          <w:rFonts w:ascii="Times New Roman" w:hAnsi="Times New Roman" w:cs="Times New Roman"/>
          <w:szCs w:val="21"/>
          <w:u w:val="single"/>
          <w:lang w:val="pt-PT"/>
        </w:rPr>
        <w:t>N</w:t>
      </w:r>
      <w:r w:rsidR="00C87FC0" w:rsidRPr="00C87FC0">
        <w:rPr>
          <w:rFonts w:ascii="Times New Roman" w:hAnsi="Times New Roman" w:cs="Times New Roman"/>
          <w:szCs w:val="21"/>
          <w:u w:val="single"/>
          <w:lang w:val="pt-PT"/>
        </w:rPr>
        <w:t>úmero de respostas correctas</w:t>
      </w:r>
      <w:r w:rsidRPr="00C87FC0">
        <w:rPr>
          <w:rFonts w:ascii="Times New Roman" w:hAnsi="Times New Roman" w:cs="Times New Roman"/>
          <w:szCs w:val="21"/>
          <w:u w:val="single"/>
          <w:lang w:val="pt-PT"/>
        </w:rPr>
        <w:t xml:space="preserve">:              </w:t>
      </w:r>
      <w:r w:rsidR="00C87FC0" w:rsidRPr="00C87FC0">
        <w:rPr>
          <w:rFonts w:ascii="Times New Roman" w:hAnsi="Times New Roman" w:cs="Times New Roman"/>
          <w:szCs w:val="21"/>
          <w:u w:val="single"/>
          <w:lang w:val="pt-PT"/>
        </w:rPr>
        <w:t>de um tota</w:t>
      </w:r>
      <w:r w:rsidR="00C87FC0">
        <w:rPr>
          <w:rFonts w:ascii="Times New Roman" w:hAnsi="Times New Roman" w:cs="Times New Roman"/>
          <w:szCs w:val="21"/>
          <w:u w:val="single"/>
          <w:lang w:val="pt-PT"/>
        </w:rPr>
        <w:t xml:space="preserve">l de </w:t>
      </w:r>
      <w:r w:rsidR="00A532D8" w:rsidRPr="00C87FC0">
        <w:rPr>
          <w:rFonts w:ascii="Times New Roman" w:hAnsi="Times New Roman" w:cs="Times New Roman"/>
          <w:sz w:val="44"/>
          <w:szCs w:val="21"/>
          <w:u w:val="single"/>
          <w:lang w:val="pt-PT"/>
        </w:rPr>
        <w:t>12</w:t>
      </w:r>
      <w:r w:rsidRPr="00C87FC0">
        <w:rPr>
          <w:rFonts w:ascii="Times New Roman" w:hAnsi="Times New Roman" w:cs="Times New Roman"/>
          <w:sz w:val="44"/>
          <w:szCs w:val="21"/>
          <w:u w:val="single"/>
          <w:lang w:val="pt-PT"/>
        </w:rPr>
        <w:t xml:space="preserve"> </w:t>
      </w:r>
    </w:p>
    <w:p w:rsidR="00C87FC0" w:rsidRPr="00736C7C" w:rsidRDefault="00C87FC0" w:rsidP="008B4467">
      <w:pPr>
        <w:jc w:val="left"/>
        <w:rPr>
          <w:rFonts w:ascii="Times New Roman" w:hAnsi="Times New Roman" w:cs="Times New Roman"/>
          <w:szCs w:val="21"/>
          <w:lang w:val="pt-PT"/>
        </w:rPr>
      </w:pPr>
      <w:r w:rsidRPr="00736C7C">
        <w:rPr>
          <w:rFonts w:ascii="Times New Roman" w:hAnsi="Times New Roman" w:cs="Times New Roman"/>
          <w:szCs w:val="21"/>
          <w:lang w:val="pt-PT"/>
        </w:rPr>
        <w:t xml:space="preserve">Escolha somente uma resposta </w:t>
      </w:r>
      <w:r w:rsidR="00736C7C">
        <w:rPr>
          <w:rFonts w:ascii="Times New Roman" w:hAnsi="Times New Roman" w:cs="Times New Roman"/>
          <w:szCs w:val="21"/>
          <w:lang w:val="pt-PT"/>
        </w:rPr>
        <w:t xml:space="preserve">das quatro opções.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357"/>
        <w:gridCol w:w="8407"/>
        <w:gridCol w:w="975"/>
      </w:tblGrid>
      <w:tr w:rsidR="00917185" w:rsidRPr="001F2958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1F2958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1F2958" w:rsidRDefault="00736C7C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Pergunta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1F2958" w:rsidRDefault="00736C7C" w:rsidP="00736C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Opções 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1F2958" w:rsidRDefault="00736C7C" w:rsidP="00736C7C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 xml:space="preserve">Resposta </w:t>
            </w:r>
          </w:p>
        </w:tc>
      </w:tr>
      <w:tr w:rsidR="00A532D8" w:rsidRPr="007067BD" w:rsidTr="001F2958">
        <w:trPr>
          <w:jc w:val="center"/>
        </w:trPr>
        <w:tc>
          <w:tcPr>
            <w:tcW w:w="399" w:type="dxa"/>
          </w:tcPr>
          <w:p w:rsidR="00A532D8" w:rsidRPr="001F2958" w:rsidRDefault="00A532D8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</w:t>
            </w:r>
          </w:p>
        </w:tc>
        <w:tc>
          <w:tcPr>
            <w:tcW w:w="4395" w:type="dxa"/>
          </w:tcPr>
          <w:p w:rsidR="00A532D8" w:rsidRPr="001F2958" w:rsidRDefault="00736C7C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descreve adequadamente a preparação necessária antes de realizar o Exercício de Pesquisa de Mercado para os agricultores alvo?</w:t>
            </w:r>
          </w:p>
        </w:tc>
        <w:tc>
          <w:tcPr>
            <w:tcW w:w="8501" w:type="dxa"/>
          </w:tcPr>
          <w:p w:rsidR="00736C7C" w:rsidRPr="001F2958" w:rsidRDefault="00736C7C" w:rsidP="00736C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1. Se o pessoal do governo não estiver familiarizado com o mercado a visitar, deve contratar consultores profissionais de marketing para realizar uma pesquisa preliminar de mercado.</w:t>
            </w:r>
          </w:p>
          <w:p w:rsidR="00736C7C" w:rsidRPr="001F2958" w:rsidRDefault="00736C7C" w:rsidP="00736C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2. O pessoal do governo não deve visitar o mercado antes de levar os agricultores até lá para o exercício de pesquisa de mercado.</w:t>
            </w:r>
          </w:p>
          <w:p w:rsidR="00736C7C" w:rsidRPr="001F2958" w:rsidRDefault="00736C7C" w:rsidP="00736C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3. O pessoal do governo investiga e escolhe o(s) dia(s) mais apropriado(s) da semana e hora do dia para a realização do exercício de pesquisa de mercado.</w:t>
            </w:r>
          </w:p>
          <w:p w:rsidR="00A532D8" w:rsidRPr="001F2958" w:rsidRDefault="00736C7C" w:rsidP="00736C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4. Os Extensionistas escolhem os representantes mais instruídos dos grupos de agricultores para que possam conduzir o exercício de pesquisa de mercado sem dificuldades.</w:t>
            </w:r>
          </w:p>
        </w:tc>
        <w:tc>
          <w:tcPr>
            <w:tcW w:w="870" w:type="dxa"/>
          </w:tcPr>
          <w:p w:rsidR="00A532D8" w:rsidRPr="001F2958" w:rsidRDefault="00A532D8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A532D8" w:rsidRPr="007067BD" w:rsidTr="001F2958">
        <w:trPr>
          <w:jc w:val="center"/>
        </w:trPr>
        <w:tc>
          <w:tcPr>
            <w:tcW w:w="399" w:type="dxa"/>
          </w:tcPr>
          <w:p w:rsidR="00A532D8" w:rsidRPr="001F2958" w:rsidRDefault="00A532D8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2</w:t>
            </w:r>
          </w:p>
        </w:tc>
        <w:tc>
          <w:tcPr>
            <w:tcW w:w="4395" w:type="dxa"/>
          </w:tcPr>
          <w:p w:rsidR="00736C7C" w:rsidRPr="001F2958" w:rsidRDefault="00736C7C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descreve com precisão o objectivo principal do estudo de mercado da SHEP?</w:t>
            </w:r>
          </w:p>
        </w:tc>
        <w:tc>
          <w:tcPr>
            <w:tcW w:w="8501" w:type="dxa"/>
          </w:tcPr>
          <w:p w:rsidR="00736C7C" w:rsidRPr="001F2958" w:rsidRDefault="00736C7C" w:rsidP="00736C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1. Recolher os preços de mercado o mais exactos possível.</w:t>
            </w:r>
          </w:p>
          <w:p w:rsidR="00736C7C" w:rsidRPr="001F2958" w:rsidRDefault="00736C7C" w:rsidP="00736C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2. Possibilitar aos agricultores recolherem informações sobre o mercado.</w:t>
            </w:r>
          </w:p>
          <w:p w:rsidR="00736C7C" w:rsidRPr="001F2958" w:rsidRDefault="00736C7C" w:rsidP="00736C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3. Eliminar os intermediários no comércio de culturas.</w:t>
            </w:r>
          </w:p>
          <w:p w:rsidR="00A532D8" w:rsidRPr="001F2958" w:rsidRDefault="00736C7C" w:rsidP="00736C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4. Desenvolver a capacidade de especialistas em marketing.</w:t>
            </w:r>
          </w:p>
        </w:tc>
        <w:tc>
          <w:tcPr>
            <w:tcW w:w="870" w:type="dxa"/>
          </w:tcPr>
          <w:p w:rsidR="00A532D8" w:rsidRPr="001F2958" w:rsidRDefault="00A532D8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A532D8" w:rsidRPr="007067BD" w:rsidTr="001F2958">
        <w:trPr>
          <w:jc w:val="center"/>
        </w:trPr>
        <w:tc>
          <w:tcPr>
            <w:tcW w:w="399" w:type="dxa"/>
          </w:tcPr>
          <w:p w:rsidR="00A532D8" w:rsidRPr="001F2958" w:rsidRDefault="00A532D8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3</w:t>
            </w:r>
          </w:p>
        </w:tc>
        <w:tc>
          <w:tcPr>
            <w:tcW w:w="4395" w:type="dxa"/>
          </w:tcPr>
          <w:p w:rsidR="00A532D8" w:rsidRPr="001F2958" w:rsidRDefault="00B84C0E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Em SHEP, os próprios agricultores realizam a pesquisa de mercado. Este acordo apoia a necessidade psicológica dos agricultores para quê?</w:t>
            </w:r>
          </w:p>
        </w:tc>
        <w:tc>
          <w:tcPr>
            <w:tcW w:w="8501" w:type="dxa"/>
          </w:tcPr>
          <w:p w:rsidR="00A532D8" w:rsidRPr="001F2958" w:rsidRDefault="00A532D8" w:rsidP="00B84C0E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1. Autonom</w:t>
            </w:r>
            <w:r w:rsidR="00B84C0E" w:rsidRPr="001F2958">
              <w:rPr>
                <w:rFonts w:ascii="Times New Roman" w:hAnsi="Times New Roman" w:cs="Times New Roman"/>
                <w:szCs w:val="21"/>
                <w:lang w:val="pt-PT"/>
              </w:rPr>
              <w:t>ia</w:t>
            </w: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.</w:t>
            </w: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br/>
              <w:t xml:space="preserve">2. </w:t>
            </w:r>
            <w:r w:rsidR="00AE0ED4" w:rsidRPr="001F2958">
              <w:rPr>
                <w:rFonts w:ascii="Times New Roman" w:hAnsi="Times New Roman" w:cs="Times New Roman"/>
                <w:szCs w:val="21"/>
                <w:lang w:val="pt-PT"/>
              </w:rPr>
              <w:t>Competência</w:t>
            </w: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.</w:t>
            </w: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br/>
              <w:t>3. Rela</w:t>
            </w:r>
            <w:r w:rsidR="00B84C0E" w:rsidRPr="001F2958">
              <w:rPr>
                <w:rFonts w:ascii="Times New Roman" w:hAnsi="Times New Roman" w:cs="Times New Roman"/>
                <w:szCs w:val="21"/>
                <w:lang w:val="pt-PT"/>
              </w:rPr>
              <w:t>cionamento</w:t>
            </w: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.</w:t>
            </w: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br/>
              <w:t xml:space="preserve">4. </w:t>
            </w:r>
            <w:r w:rsidR="00AE0ED4" w:rsidRPr="001F2958">
              <w:rPr>
                <w:rFonts w:ascii="Times New Roman" w:hAnsi="Times New Roman" w:cs="Times New Roman"/>
                <w:szCs w:val="21"/>
                <w:lang w:val="pt-PT"/>
              </w:rPr>
              <w:t>Nenhuma</w:t>
            </w:r>
            <w:r w:rsidR="00B84C0E" w:rsidRPr="001F2958">
              <w:rPr>
                <w:rFonts w:ascii="Times New Roman" w:hAnsi="Times New Roman" w:cs="Times New Roman"/>
                <w:szCs w:val="21"/>
                <w:lang w:val="pt-PT"/>
              </w:rPr>
              <w:t xml:space="preserve"> das acima</w:t>
            </w: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.</w:t>
            </w:r>
          </w:p>
        </w:tc>
        <w:tc>
          <w:tcPr>
            <w:tcW w:w="870" w:type="dxa"/>
          </w:tcPr>
          <w:p w:rsidR="00A532D8" w:rsidRPr="001F2958" w:rsidRDefault="00A532D8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A532D8" w:rsidRPr="007067BD" w:rsidTr="001F2958">
        <w:trPr>
          <w:jc w:val="center"/>
        </w:trPr>
        <w:tc>
          <w:tcPr>
            <w:tcW w:w="399" w:type="dxa"/>
          </w:tcPr>
          <w:p w:rsidR="00A532D8" w:rsidRPr="001F2958" w:rsidRDefault="00A532D8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4</w:t>
            </w:r>
          </w:p>
        </w:tc>
        <w:tc>
          <w:tcPr>
            <w:tcW w:w="4395" w:type="dxa"/>
          </w:tcPr>
          <w:p w:rsidR="00B84C0E" w:rsidRPr="001F2958" w:rsidRDefault="00B84C0E" w:rsidP="001F295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Que formato deve ser utilizado para a Pesquisa de Mercado</w:t>
            </w:r>
          </w:p>
        </w:tc>
        <w:tc>
          <w:tcPr>
            <w:tcW w:w="8501" w:type="dxa"/>
          </w:tcPr>
          <w:p w:rsidR="009502F3" w:rsidRPr="001F2958" w:rsidRDefault="009502F3" w:rsidP="009502F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O mesmo formato que a Pesquisa de Linha de Base.</w:t>
            </w:r>
          </w:p>
          <w:p w:rsidR="009502F3" w:rsidRPr="001F2958" w:rsidRDefault="009502F3" w:rsidP="009502F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 mesmo formato que a Pesquisa Final.</w:t>
            </w:r>
          </w:p>
          <w:p w:rsidR="009502F3" w:rsidRPr="001F2958" w:rsidRDefault="009502F3" w:rsidP="009502F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3. O formato do Questionário de Pesquisa de Mercado.</w:t>
            </w:r>
          </w:p>
          <w:p w:rsidR="00AE0ED4" w:rsidRPr="001F2958" w:rsidRDefault="009502F3" w:rsidP="009502F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Nenhum formato é utilizado durante o inquérito de mercado.</w:t>
            </w:r>
          </w:p>
        </w:tc>
        <w:tc>
          <w:tcPr>
            <w:tcW w:w="870" w:type="dxa"/>
          </w:tcPr>
          <w:p w:rsidR="00A532D8" w:rsidRPr="001F2958" w:rsidRDefault="00A532D8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A532D8" w:rsidRPr="007067BD" w:rsidTr="001F2958">
        <w:trPr>
          <w:jc w:val="center"/>
        </w:trPr>
        <w:tc>
          <w:tcPr>
            <w:tcW w:w="399" w:type="dxa"/>
          </w:tcPr>
          <w:p w:rsidR="00A532D8" w:rsidRPr="001F2958" w:rsidRDefault="00A532D8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5</w:t>
            </w:r>
          </w:p>
        </w:tc>
        <w:tc>
          <w:tcPr>
            <w:tcW w:w="4395" w:type="dxa"/>
          </w:tcPr>
          <w:p w:rsidR="00A532D8" w:rsidRPr="001F2958" w:rsidRDefault="006B6C52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descreve com precisão o formato do questionário de pesquisa de mercado da SHEP e a sua utilização?</w:t>
            </w:r>
          </w:p>
        </w:tc>
        <w:tc>
          <w:tcPr>
            <w:tcW w:w="8501" w:type="dxa"/>
          </w:tcPr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1. O formato foi concebido para ser utilizado por funcionários governamentais especializados em marketing agrícola.</w:t>
            </w:r>
          </w:p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2. O formato é suficientemente simples para ser preenchido pelos agricultores-alvo.</w:t>
            </w:r>
          </w:p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3. O formato tem colunas onde os especialistas em marketing escrevem os preços de leilão das principais culturas no mercado central.</w:t>
            </w:r>
          </w:p>
          <w:p w:rsidR="00A532D8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4. O formato tem duas folhas: uma é para escrever receitas e despesas e a outra para escrever técnicas agrícolas.</w:t>
            </w:r>
          </w:p>
        </w:tc>
        <w:tc>
          <w:tcPr>
            <w:tcW w:w="870" w:type="dxa"/>
          </w:tcPr>
          <w:p w:rsidR="00A532D8" w:rsidRPr="001F2958" w:rsidRDefault="00A532D8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A532D8" w:rsidRPr="007067BD" w:rsidTr="001F2958">
        <w:trPr>
          <w:jc w:val="center"/>
        </w:trPr>
        <w:tc>
          <w:tcPr>
            <w:tcW w:w="399" w:type="dxa"/>
          </w:tcPr>
          <w:p w:rsidR="00A532D8" w:rsidRPr="001F2958" w:rsidRDefault="00A532D8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6</w:t>
            </w:r>
          </w:p>
        </w:tc>
        <w:tc>
          <w:tcPr>
            <w:tcW w:w="4395" w:type="dxa"/>
          </w:tcPr>
          <w:p w:rsidR="006B6C52" w:rsidRPr="001F2958" w:rsidRDefault="006B6C52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 xml:space="preserve">Qual das seguintes informações é, normalmente, recolhida durante a Pesquisa de Mercado? </w:t>
            </w:r>
          </w:p>
        </w:tc>
        <w:tc>
          <w:tcPr>
            <w:tcW w:w="8501" w:type="dxa"/>
          </w:tcPr>
          <w:p w:rsidR="006B6C52" w:rsidRPr="001F2958" w:rsidRDefault="006B6C52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1. Margem de lucro do comerciante.</w:t>
            </w:r>
          </w:p>
          <w:p w:rsidR="006B6C52" w:rsidRPr="001F2958" w:rsidRDefault="006B6C52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 xml:space="preserve">2. Número de telefone do comerciante. </w:t>
            </w:r>
          </w:p>
          <w:p w:rsidR="006B6C52" w:rsidRPr="001F2958" w:rsidRDefault="006B6C52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3. Nome do comprador.</w:t>
            </w:r>
          </w:p>
          <w:p w:rsidR="006B6C52" w:rsidRPr="001F2958" w:rsidRDefault="006B6C52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4. Número de culturas comercializadas por cada comprador.</w:t>
            </w:r>
          </w:p>
        </w:tc>
        <w:tc>
          <w:tcPr>
            <w:tcW w:w="870" w:type="dxa"/>
          </w:tcPr>
          <w:p w:rsidR="00A532D8" w:rsidRPr="001F2958" w:rsidRDefault="00A532D8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A532D8" w:rsidRPr="007067BD" w:rsidTr="001F2958">
        <w:trPr>
          <w:jc w:val="center"/>
        </w:trPr>
        <w:tc>
          <w:tcPr>
            <w:tcW w:w="399" w:type="dxa"/>
          </w:tcPr>
          <w:p w:rsidR="00A532D8" w:rsidRPr="001F2958" w:rsidRDefault="00A532D8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7</w:t>
            </w:r>
          </w:p>
        </w:tc>
        <w:tc>
          <w:tcPr>
            <w:tcW w:w="4395" w:type="dxa"/>
          </w:tcPr>
          <w:p w:rsidR="00A532D8" w:rsidRPr="001F2958" w:rsidRDefault="006B6C52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Ao realizar o exercício de Pesquisa de Mercado, o que devem fazer os implementadores se o mercado local perto da localização dos agricultores alvo for muito pequeno.</w:t>
            </w:r>
          </w:p>
        </w:tc>
        <w:tc>
          <w:tcPr>
            <w:tcW w:w="8501" w:type="dxa"/>
          </w:tcPr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1. Os implementadores devem sempre levar os agricultores ao mercado central da capital.</w:t>
            </w:r>
          </w:p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2. Os implementadores nunca devem organizar o exercício de Pesquisa de Mercado num mercado que não seja o mercado local.</w:t>
            </w:r>
          </w:p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3. É normalmente um bom ponto de partida visitar o mercado local mais próximo. A realização de um inquérito em mercados próximos de grandes cidades pode ser considerada como um próximo passo.</w:t>
            </w:r>
          </w:p>
          <w:p w:rsidR="00A532D8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4. Os implementadores devem arranjar um carro para os agricultores visitarem as grandes empresas de processamento alimentar e as empresas de exportação para aí realizarem um inquérito.</w:t>
            </w:r>
          </w:p>
        </w:tc>
        <w:tc>
          <w:tcPr>
            <w:tcW w:w="870" w:type="dxa"/>
          </w:tcPr>
          <w:p w:rsidR="00A532D8" w:rsidRPr="001F2958" w:rsidRDefault="00A532D8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A532D8" w:rsidRPr="007067BD" w:rsidTr="001F2958">
        <w:trPr>
          <w:jc w:val="center"/>
        </w:trPr>
        <w:tc>
          <w:tcPr>
            <w:tcW w:w="399" w:type="dxa"/>
          </w:tcPr>
          <w:p w:rsidR="00A532D8" w:rsidRPr="001F2958" w:rsidRDefault="00A532D8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8</w:t>
            </w:r>
          </w:p>
        </w:tc>
        <w:tc>
          <w:tcPr>
            <w:tcW w:w="4395" w:type="dxa"/>
          </w:tcPr>
          <w:p w:rsidR="006B6C52" w:rsidRPr="001F2958" w:rsidRDefault="006B6C52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 xml:space="preserve">Qual é o papel dos representantes dos agricultores após o fim do exercício de Pesquisa de Mercado? </w:t>
            </w:r>
          </w:p>
        </w:tc>
        <w:tc>
          <w:tcPr>
            <w:tcW w:w="8501" w:type="dxa"/>
          </w:tcPr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1. Escrever um relatório detalhado de implementação da pesquisa de mercado e apresentar ao gabinete governamental.</w:t>
            </w:r>
          </w:p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2. Voltar aos intervenientes no mercado para confirmar a exactidão dos dados recolhidos.</w:t>
            </w:r>
          </w:p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3. Verificar a informação sobre preços de mercado no website do governo e informar o governo se existem quaisquer diferenças de preços.</w:t>
            </w:r>
          </w:p>
          <w:p w:rsidR="00A532D8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4. Organizar uma reunião de grupo e partilhar a informação recolhida durante o exercício de pesquisa de mercado com outros membros do grupo.</w:t>
            </w:r>
          </w:p>
        </w:tc>
        <w:tc>
          <w:tcPr>
            <w:tcW w:w="870" w:type="dxa"/>
          </w:tcPr>
          <w:p w:rsidR="00A532D8" w:rsidRPr="001F2958" w:rsidRDefault="00A532D8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A532D8" w:rsidRPr="007067BD" w:rsidTr="001F2958">
        <w:trPr>
          <w:jc w:val="center"/>
        </w:trPr>
        <w:tc>
          <w:tcPr>
            <w:tcW w:w="399" w:type="dxa"/>
          </w:tcPr>
          <w:p w:rsidR="00A532D8" w:rsidRPr="001F2958" w:rsidRDefault="00A532D8" w:rsidP="001F295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9</w:t>
            </w:r>
          </w:p>
        </w:tc>
        <w:tc>
          <w:tcPr>
            <w:tcW w:w="4395" w:type="dxa"/>
          </w:tcPr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Qual das seguintes situações NÃO pode ser considerada que Pesquisa de Mercado tenha mitigado a informação assimétrica?</w:t>
            </w:r>
          </w:p>
        </w:tc>
        <w:tc>
          <w:tcPr>
            <w:tcW w:w="8501" w:type="dxa"/>
          </w:tcPr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1. Um agricultor disse: "Eu não me importava com o prazo de validade do produto antes. Devia ter mais cuidado com esta questão, para que os compradores fiquem satisfeitos".</w:t>
            </w:r>
          </w:p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2. Um comprador disse: "Eu não sabia que os agricultores locais estão a produzir batatas de alta qualidade. Estou feliz por podermos comprar batatas localmente a partir de agora".</w:t>
            </w:r>
          </w:p>
          <w:p w:rsidR="006B6C52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3. Um grossista disse: "Devíamos comprar mais tomates a grandes agricultores porque não confiamos na qualidade dos tomates produzidos por pequenos agricultores".</w:t>
            </w:r>
          </w:p>
          <w:p w:rsidR="00A532D8" w:rsidRPr="001F2958" w:rsidRDefault="006B6C52" w:rsidP="006B6C5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4. Um intermediário disse: "Não me importo de organizar um transporte para os campos dos agricultores, uma vez que o grupo de agricultores prometeu vender-me uma grande quantidade de pimentos como um grupo".</w:t>
            </w:r>
          </w:p>
        </w:tc>
        <w:tc>
          <w:tcPr>
            <w:tcW w:w="870" w:type="dxa"/>
          </w:tcPr>
          <w:p w:rsidR="00A532D8" w:rsidRPr="001F2958" w:rsidRDefault="00A532D8" w:rsidP="001F295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076C78" w:rsidRPr="007067BD" w:rsidTr="001F2958">
        <w:trPr>
          <w:jc w:val="center"/>
        </w:trPr>
        <w:tc>
          <w:tcPr>
            <w:tcW w:w="399" w:type="dxa"/>
          </w:tcPr>
          <w:p w:rsidR="00076C78" w:rsidRPr="001F2958" w:rsidRDefault="00A532D8" w:rsidP="00076C7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10</w:t>
            </w:r>
          </w:p>
        </w:tc>
        <w:tc>
          <w:tcPr>
            <w:tcW w:w="4395" w:type="dxa"/>
          </w:tcPr>
          <w:p w:rsidR="00076C78" w:rsidRPr="001F2958" w:rsidRDefault="001F2958" w:rsidP="00076C7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Qual das seguintes afirmações os implementadores do SHEP devem esperar ouvir dos agricultores-alvo após o exercício do Estudo de Mercado.</w:t>
            </w:r>
          </w:p>
        </w:tc>
        <w:tc>
          <w:tcPr>
            <w:tcW w:w="8501" w:type="dxa"/>
          </w:tcPr>
          <w:p w:rsidR="001F2958" w:rsidRPr="001F2958" w:rsidRDefault="001F2958" w:rsidP="001F295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"Percebi que visitar um grande mercado na capital é mais benéfico do que visitar os mercados locais".</w:t>
            </w:r>
          </w:p>
          <w:p w:rsidR="001F2958" w:rsidRPr="001F2958" w:rsidRDefault="001F2958" w:rsidP="001F295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"Consegui obter informações não só sobre preços mas também sobre vários aspectos das exigências do mercado, tais como tamanhos das culturas, cores, períodos de pico de procura, etc.".</w:t>
            </w:r>
          </w:p>
          <w:p w:rsidR="001F2958" w:rsidRPr="001F2958" w:rsidRDefault="001F2958" w:rsidP="001F295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"É melhor para os homens realizar estudos de mercado, uma vez que estão mais confiantes em falar com os intervenientes no mercado do que com as mulheres".</w:t>
            </w:r>
          </w:p>
          <w:p w:rsidR="00076C78" w:rsidRPr="001F2958" w:rsidRDefault="001F2958" w:rsidP="001F295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"Devemos levar sempre connosco os nossos extensionistas para conduzirem pesquisas de mercado a partir de agora".</w:t>
            </w:r>
          </w:p>
        </w:tc>
        <w:tc>
          <w:tcPr>
            <w:tcW w:w="870" w:type="dxa"/>
          </w:tcPr>
          <w:p w:rsidR="00076C78" w:rsidRPr="001F2958" w:rsidRDefault="00076C78" w:rsidP="00076C7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076C78" w:rsidRPr="007067BD" w:rsidTr="001F2958">
        <w:trPr>
          <w:jc w:val="center"/>
        </w:trPr>
        <w:tc>
          <w:tcPr>
            <w:tcW w:w="399" w:type="dxa"/>
          </w:tcPr>
          <w:p w:rsidR="00076C78" w:rsidRPr="001F2958" w:rsidRDefault="00A532D8" w:rsidP="00076C7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t>11</w:t>
            </w:r>
          </w:p>
        </w:tc>
        <w:tc>
          <w:tcPr>
            <w:tcW w:w="4395" w:type="dxa"/>
          </w:tcPr>
          <w:p w:rsidR="001F2958" w:rsidRPr="001F2958" w:rsidRDefault="001F2958" w:rsidP="00076C7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Com que frequência a Pesquisa de Mercado deve ser realizada pelos agricultores após a conclusão do exercício de Pesquisa de Mercado?</w:t>
            </w:r>
          </w:p>
        </w:tc>
        <w:tc>
          <w:tcPr>
            <w:tcW w:w="8501" w:type="dxa"/>
          </w:tcPr>
          <w:p w:rsidR="001F2958" w:rsidRPr="001F2958" w:rsidRDefault="001F2958" w:rsidP="00076C7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Nunca, visto que o exercício de Pesquisa de Mercado já foi realizado pelos agricultores.</w:t>
            </w:r>
          </w:p>
          <w:p w:rsidR="001F2958" w:rsidRPr="001F2958" w:rsidRDefault="001F2958" w:rsidP="00076C7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Uma vez por ano.</w:t>
            </w:r>
          </w:p>
          <w:p w:rsidR="001F2958" w:rsidRPr="001F2958" w:rsidRDefault="001F2958" w:rsidP="00076C7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Duas vezes por dia.</w:t>
            </w:r>
          </w:p>
          <w:p w:rsidR="001F2958" w:rsidRPr="001F2958" w:rsidRDefault="001F2958" w:rsidP="00076C7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De forma regular, pelo menos uma na época de cultivo.</w:t>
            </w:r>
          </w:p>
        </w:tc>
        <w:tc>
          <w:tcPr>
            <w:tcW w:w="870" w:type="dxa"/>
          </w:tcPr>
          <w:p w:rsidR="00076C78" w:rsidRPr="001F2958" w:rsidRDefault="00076C78" w:rsidP="00076C7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076C78" w:rsidRPr="007067BD" w:rsidTr="00917185">
        <w:trPr>
          <w:jc w:val="center"/>
        </w:trPr>
        <w:tc>
          <w:tcPr>
            <w:tcW w:w="399" w:type="dxa"/>
          </w:tcPr>
          <w:p w:rsidR="00076C78" w:rsidRPr="001F2958" w:rsidRDefault="00A532D8" w:rsidP="00076C7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12</w:t>
            </w:r>
          </w:p>
        </w:tc>
        <w:tc>
          <w:tcPr>
            <w:tcW w:w="4395" w:type="dxa"/>
          </w:tcPr>
          <w:p w:rsidR="00076C78" w:rsidRPr="001F2958" w:rsidRDefault="001F2958" w:rsidP="00076C7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Os técnicos agrícolas do País Y não estão familiarizados com os mercados locais e não sabem que culturas são comercializadas como e por quem. Como devem organizar um exercício de inquérito de mercado para os agricultores?</w:t>
            </w:r>
          </w:p>
        </w:tc>
        <w:tc>
          <w:tcPr>
            <w:tcW w:w="8501" w:type="dxa"/>
          </w:tcPr>
          <w:p w:rsidR="001F2958" w:rsidRPr="001F2958" w:rsidRDefault="001F2958" w:rsidP="001F295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A Pesquisa de Mercado deve ser ignorada e passar para a actividade seguinte, a Selecção de Culturas Alvo.</w:t>
            </w:r>
          </w:p>
          <w:p w:rsidR="001F2958" w:rsidRPr="001F2958" w:rsidRDefault="001F2958" w:rsidP="001F295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Os técnicos agrícolas devem organizar um exercício de inquérito de mercado apenas no mercado central da capital.</w:t>
            </w:r>
          </w:p>
          <w:p w:rsidR="001F2958" w:rsidRPr="001F2958" w:rsidRDefault="001F2958" w:rsidP="001F295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Os técnicos agrícolas devem pedir a outras organizações relevantes, tais como o Ministério do Comércio, que tem mais conhecimentos em questões de marketing, que realizem um exercício de pesquisa de mercado para os agricultores.</w:t>
            </w:r>
          </w:p>
          <w:p w:rsidR="00076C78" w:rsidRPr="001F2958" w:rsidRDefault="001F2958" w:rsidP="001F2958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F2958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Os técnicos agrícolas devem tentar realizar eles próprios inquéritos de mercado antes de levarem os agricultores até lá. Ao fazê-lo, podem aprender de antemão sobre os mercados locais e planear bem o exercício de pesquisa de mercado.</w:t>
            </w:r>
          </w:p>
        </w:tc>
        <w:tc>
          <w:tcPr>
            <w:tcW w:w="870" w:type="dxa"/>
          </w:tcPr>
          <w:p w:rsidR="00076C78" w:rsidRPr="001F2958" w:rsidRDefault="00076C78" w:rsidP="00076C78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</w:tbl>
    <w:p w:rsidR="008B4467" w:rsidRPr="001F2958" w:rsidRDefault="008B4467">
      <w:pPr>
        <w:rPr>
          <w:lang w:val="pt-PT"/>
        </w:rPr>
      </w:pPr>
    </w:p>
    <w:sectPr w:rsidR="008B4467" w:rsidRPr="001F2958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75" w:rsidRDefault="003E7C75" w:rsidP="00917185">
      <w:r>
        <w:separator/>
      </w:r>
    </w:p>
  </w:endnote>
  <w:endnote w:type="continuationSeparator" w:id="0">
    <w:p w:rsidR="003E7C75" w:rsidRDefault="003E7C75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958" w:rsidRPr="00917185" w:rsidRDefault="000A7A2F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1F2958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7067BD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75" w:rsidRDefault="003E7C75" w:rsidP="00917185">
      <w:r>
        <w:separator/>
      </w:r>
    </w:p>
  </w:footnote>
  <w:footnote w:type="continuationSeparator" w:id="0">
    <w:p w:rsidR="003E7C75" w:rsidRDefault="003E7C75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57AB6"/>
    <w:rsid w:val="00076C78"/>
    <w:rsid w:val="00097A71"/>
    <w:rsid w:val="000A7A2F"/>
    <w:rsid w:val="000B690D"/>
    <w:rsid w:val="000D430B"/>
    <w:rsid w:val="000E568C"/>
    <w:rsid w:val="001F2958"/>
    <w:rsid w:val="002408B1"/>
    <w:rsid w:val="003E7C75"/>
    <w:rsid w:val="00515110"/>
    <w:rsid w:val="005F7F52"/>
    <w:rsid w:val="006B6C52"/>
    <w:rsid w:val="006C6ABC"/>
    <w:rsid w:val="007067BD"/>
    <w:rsid w:val="00736C7C"/>
    <w:rsid w:val="008B4467"/>
    <w:rsid w:val="00903435"/>
    <w:rsid w:val="00917185"/>
    <w:rsid w:val="009502F3"/>
    <w:rsid w:val="00955219"/>
    <w:rsid w:val="00A532D8"/>
    <w:rsid w:val="00AE0ED4"/>
    <w:rsid w:val="00B84C0E"/>
    <w:rsid w:val="00C32AAF"/>
    <w:rsid w:val="00C74167"/>
    <w:rsid w:val="00C87FC0"/>
    <w:rsid w:val="00D217A6"/>
    <w:rsid w:val="00EE6015"/>
    <w:rsid w:val="00F35B89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359608-6C44-473D-A3F3-9A1E3CB7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A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  <w:style w:type="paragraph" w:styleId="ListParagraph">
    <w:name w:val="List Paragraph"/>
    <w:basedOn w:val="Normal"/>
    <w:uiPriority w:val="34"/>
    <w:qFormat/>
    <w:rsid w:val="00AE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231891A8-84F9-4A21-9B0F-131E18E74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A5B3E-9843-42B9-AFA1-0EC34F884801}"/>
</file>

<file path=customXml/itemProps3.xml><?xml version="1.0" encoding="utf-8"?>
<ds:datastoreItem xmlns:ds="http://schemas.openxmlformats.org/officeDocument/2006/customXml" ds:itemID="{07EEB95D-BF93-42EF-AE09-0A9341E6015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f9216-17ea-4c10-abb6-43a658e75ede"/>
    <ds:schemaRef ds:uri="b94aba0d-0b37-450f-acf1-6ab612cafb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2022-10-31T12:17:00Z</dcterms:created>
  <dcterms:modified xsi:type="dcterms:W3CDTF">2022-10-31T12:17:00Z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