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E95EC0" w:rsidRDefault="00E95EC0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r w:rsidRPr="00E95EC0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</w:t>
      </w:r>
      <w:r w:rsidR="00F20B60" w:rsidRPr="00E95EC0">
        <w:rPr>
          <w:rFonts w:asciiTheme="majorHAnsi" w:hAnsiTheme="majorHAnsi" w:cstheme="majorHAnsi"/>
          <w:sz w:val="28"/>
          <w:shd w:val="pct15" w:color="auto" w:fill="FFFFFF"/>
          <w:lang w:val="pt-PT"/>
        </w:rPr>
        <w:t>rápido</w:t>
      </w:r>
      <w:r w:rsidRPr="00E95EC0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 para Acompanhamento </w:t>
      </w:r>
      <w:r w:rsidR="00F20B60" w:rsidRPr="00E95EC0">
        <w:rPr>
          <w:rFonts w:asciiTheme="majorHAnsi" w:hAnsiTheme="majorHAnsi" w:cstheme="majorHAnsi"/>
          <w:sz w:val="28"/>
          <w:shd w:val="pct15" w:color="auto" w:fill="FFFFFF"/>
          <w:lang w:val="pt-PT"/>
        </w:rPr>
        <w:t>e</w:t>
      </w:r>
      <w:r w:rsidRPr="00E95EC0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 </w:t>
      </w:r>
      <w:r w:rsidR="00F20B60" w:rsidRPr="00E95EC0">
        <w:rPr>
          <w:rFonts w:asciiTheme="majorHAnsi" w:hAnsiTheme="majorHAnsi" w:cstheme="majorHAnsi"/>
          <w:sz w:val="28"/>
          <w:shd w:val="pct15" w:color="auto" w:fill="FFFFFF"/>
          <w:lang w:val="pt-PT"/>
        </w:rPr>
        <w:t>Monitorização</w:t>
      </w:r>
    </w:p>
    <w:p w:rsidR="008B4467" w:rsidRDefault="00E95EC0" w:rsidP="00E95EC0">
      <w:pPr>
        <w:jc w:val="center"/>
        <w:rPr>
          <w:rFonts w:asciiTheme="majorHAnsi" w:hAnsiTheme="majorHAnsi" w:cstheme="majorHAnsi"/>
          <w:sz w:val="28"/>
          <w:szCs w:val="21"/>
          <w:lang w:val="pt-PT"/>
        </w:rPr>
      </w:pPr>
      <w:r w:rsidRPr="00E95EC0">
        <w:rPr>
          <w:rFonts w:asciiTheme="majorHAnsi" w:hAnsiTheme="majorHAnsi" w:cstheme="majorHAnsi"/>
          <w:sz w:val="28"/>
          <w:szCs w:val="21"/>
          <w:lang w:val="pt-PT"/>
        </w:rPr>
        <w:t>Respostas e Explicações</w:t>
      </w: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078"/>
        <w:gridCol w:w="7133"/>
        <w:gridCol w:w="1134"/>
        <w:gridCol w:w="3402"/>
      </w:tblGrid>
      <w:tr w:rsidR="00E24676" w:rsidRPr="008B4467" w:rsidTr="00BE5DDD">
        <w:trPr>
          <w:jc w:val="center"/>
        </w:trPr>
        <w:tc>
          <w:tcPr>
            <w:tcW w:w="423" w:type="dxa"/>
            <w:shd w:val="clear" w:color="auto" w:fill="D9D9D9" w:themeFill="background1" w:themeFillShade="D9"/>
          </w:tcPr>
          <w:p w:rsidR="00E24676" w:rsidRPr="00E95EC0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bookmarkStart w:id="0" w:name="_GoBack"/>
            <w:bookmarkEnd w:id="0"/>
          </w:p>
        </w:tc>
        <w:tc>
          <w:tcPr>
            <w:tcW w:w="2078" w:type="dxa"/>
            <w:shd w:val="clear" w:color="auto" w:fill="D9D9D9" w:themeFill="background1" w:themeFillShade="D9"/>
          </w:tcPr>
          <w:p w:rsidR="00E24676" w:rsidRPr="008B4467" w:rsidRDefault="00E95EC0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Pergunta</w:t>
            </w:r>
          </w:p>
        </w:tc>
        <w:tc>
          <w:tcPr>
            <w:tcW w:w="7133" w:type="dxa"/>
            <w:shd w:val="clear" w:color="auto" w:fill="D9D9D9" w:themeFill="background1" w:themeFillShade="D9"/>
          </w:tcPr>
          <w:p w:rsidR="00E24676" w:rsidRPr="008B4467" w:rsidRDefault="00E95EC0" w:rsidP="00E95EC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Opções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24676" w:rsidRPr="008B4467" w:rsidRDefault="00E95EC0" w:rsidP="00E95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Resposta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24676" w:rsidRPr="008B4467" w:rsidRDefault="00E24676" w:rsidP="00E95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</w:t>
            </w:r>
            <w:r w:rsidR="00E95EC0">
              <w:rPr>
                <w:rFonts w:ascii="Times New Roman" w:hAnsi="Times New Roman" w:cs="Times New Roman"/>
                <w:szCs w:val="21"/>
              </w:rPr>
              <w:t>icação</w:t>
            </w:r>
          </w:p>
        </w:tc>
      </w:tr>
      <w:tr w:rsidR="00F72FCB" w:rsidRPr="00BE5DDD" w:rsidTr="00BE5DDD">
        <w:trPr>
          <w:jc w:val="center"/>
        </w:trPr>
        <w:tc>
          <w:tcPr>
            <w:tcW w:w="423" w:type="dxa"/>
          </w:tcPr>
          <w:p w:rsidR="00F72FCB" w:rsidRPr="001D418C" w:rsidRDefault="00F72FCB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078" w:type="dxa"/>
          </w:tcPr>
          <w:p w:rsidR="00F72FCB" w:rsidRPr="000F4A70" w:rsidRDefault="00F72FCB" w:rsidP="00B5017C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 xml:space="preserve">Qual é o principal objectivo da realização de acompanhamento e monitorização? </w:t>
            </w:r>
          </w:p>
        </w:tc>
        <w:tc>
          <w:tcPr>
            <w:tcW w:w="7133" w:type="dxa"/>
          </w:tcPr>
          <w:p w:rsidR="00F72FCB" w:rsidRPr="000F4A70" w:rsidRDefault="00F72FCB" w:rsidP="00B501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1. Para garantir que os implementadores locais estão a pressionar os agricultores com força suficiente para produzir</w:t>
            </w:r>
            <w:r w:rsidR="002A25A5">
              <w:rPr>
                <w:rFonts w:ascii="Times New Roman" w:hAnsi="Times New Roman" w:cs="Times New Roman"/>
                <w:szCs w:val="21"/>
                <w:lang w:val="pt-PT"/>
              </w:rPr>
              <w:t>em</w:t>
            </w: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 xml:space="preserve"> as culturas que o governo recomenda no local.</w:t>
            </w:r>
          </w:p>
          <w:p w:rsidR="00F72FCB" w:rsidRPr="000F4A70" w:rsidRDefault="00F72FCB" w:rsidP="00B501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2. Para assegurar a aplicação efectiva das técnicas e conhecimentos SHEP por parte dos agricultores.</w:t>
            </w:r>
          </w:p>
          <w:p w:rsidR="00F72FCB" w:rsidRPr="000F4A70" w:rsidRDefault="00F72FCB" w:rsidP="00B501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3. Assegurar que os agricultores estão a receber empréstimos de uma instituição financeira para investir no seu negócio agrícola.</w:t>
            </w:r>
          </w:p>
          <w:p w:rsidR="00F72FCB" w:rsidRPr="000F4A70" w:rsidRDefault="00F72FCB" w:rsidP="00B501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4. Para obter dados estatísticos sobre a produção das principais culturas de cereais.</w:t>
            </w:r>
          </w:p>
        </w:tc>
        <w:tc>
          <w:tcPr>
            <w:tcW w:w="1134" w:type="dxa"/>
          </w:tcPr>
          <w:p w:rsidR="00F72FCB" w:rsidRPr="00E01CE2" w:rsidRDefault="00F72FCB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402" w:type="dxa"/>
          </w:tcPr>
          <w:p w:rsidR="00F72FCB" w:rsidRPr="00F72FCB" w:rsidRDefault="00F72FCB" w:rsidP="0042760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72FCB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O acompanhamento e a monitorização encorajam os agricultores a adoptar as técnicas e conhecimentos que aprenderam durante as sessões de formação SHEP.</w:t>
            </w:r>
          </w:p>
        </w:tc>
      </w:tr>
      <w:tr w:rsidR="00F72FCB" w:rsidRPr="00BE5DDD" w:rsidTr="00BE5DDD">
        <w:trPr>
          <w:jc w:val="center"/>
        </w:trPr>
        <w:tc>
          <w:tcPr>
            <w:tcW w:w="423" w:type="dxa"/>
          </w:tcPr>
          <w:p w:rsidR="00F72FCB" w:rsidRPr="001D418C" w:rsidRDefault="00F72FCB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78" w:type="dxa"/>
          </w:tcPr>
          <w:p w:rsidR="00F72FCB" w:rsidRPr="000F4A70" w:rsidRDefault="00F72FCB" w:rsidP="00B5017C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 xml:space="preserve">Que informação deve ser recolhida durante a Pesquisa Final? </w:t>
            </w:r>
          </w:p>
        </w:tc>
        <w:tc>
          <w:tcPr>
            <w:tcW w:w="7133" w:type="dxa"/>
          </w:tcPr>
          <w:p w:rsidR="00F72FCB" w:rsidRPr="000F4A70" w:rsidRDefault="00F72FCB" w:rsidP="00B501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1. Rendimento da pecuária.</w:t>
            </w:r>
          </w:p>
          <w:p w:rsidR="00F72FCB" w:rsidRPr="000F4A70" w:rsidRDefault="00F72FCB" w:rsidP="00B501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2. Técnicas de produção adoptadas.</w:t>
            </w:r>
          </w:p>
          <w:p w:rsidR="00F72FCB" w:rsidRPr="000F4A70" w:rsidRDefault="00F72FCB" w:rsidP="00B501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3. Números de telefone dos compradores.</w:t>
            </w:r>
          </w:p>
          <w:p w:rsidR="00F72FCB" w:rsidRPr="000F4A70" w:rsidRDefault="00F72FCB" w:rsidP="00B501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4. Variação dos preços de mercado.</w:t>
            </w:r>
          </w:p>
        </w:tc>
        <w:tc>
          <w:tcPr>
            <w:tcW w:w="1134" w:type="dxa"/>
          </w:tcPr>
          <w:p w:rsidR="00F72FCB" w:rsidRPr="004242CE" w:rsidRDefault="00F72FCB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402" w:type="dxa"/>
          </w:tcPr>
          <w:p w:rsidR="00F72FCB" w:rsidRPr="00F72FCB" w:rsidRDefault="00F72FCB" w:rsidP="0042760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72FCB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informação a recolher durante a Pesquisa Final é basicamente a mesma que a recolhida durante a Pesquisa da Linha de Base.</w:t>
            </w:r>
          </w:p>
        </w:tc>
      </w:tr>
      <w:tr w:rsidR="00F72FCB" w:rsidRPr="00BE5DDD" w:rsidTr="00BE5DDD">
        <w:trPr>
          <w:jc w:val="center"/>
        </w:trPr>
        <w:tc>
          <w:tcPr>
            <w:tcW w:w="423" w:type="dxa"/>
          </w:tcPr>
          <w:p w:rsidR="00F72FCB" w:rsidRPr="00756457" w:rsidRDefault="00F72FCB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078" w:type="dxa"/>
          </w:tcPr>
          <w:p w:rsidR="00F72FCB" w:rsidRPr="000F4A70" w:rsidRDefault="00F72FCB" w:rsidP="00B5017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Que formato deve ser utilizado para a compreensão das realizações dos grupos de agricultores durante a Pesquisa Final? </w:t>
            </w:r>
          </w:p>
        </w:tc>
        <w:tc>
          <w:tcPr>
            <w:tcW w:w="7133" w:type="dxa"/>
          </w:tcPr>
          <w:p w:rsidR="00F72FCB" w:rsidRPr="000F4A70" w:rsidRDefault="00F72FCB" w:rsidP="00B5017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O mesmo formato utilizado durante a Pesquisa Participativa de Linha de Base.</w:t>
            </w:r>
          </w:p>
          <w:p w:rsidR="00F72FCB" w:rsidRPr="000F4A70" w:rsidRDefault="00F72FCB" w:rsidP="00B5017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 formato que foi modificado e simplificado após a Pesquisa Participativa de Linha de Base, para que a recolha de dados fosse mais fácil.</w:t>
            </w:r>
          </w:p>
          <w:p w:rsidR="00F72FCB" w:rsidRPr="000F4A70" w:rsidRDefault="00F72FCB" w:rsidP="00B5017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Não existe um formato a ser utilizado durante a Pesquisa Final. A informação qualitativa através de entrevistas com os agricultores alvo é recolhida e registada para melhorias futuras.</w:t>
            </w:r>
          </w:p>
          <w:p w:rsidR="00F72FCB" w:rsidRPr="000F4A70" w:rsidRDefault="00F72FCB" w:rsidP="00B5017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O formato da pesquisa de mercado pode ser utilizado para que seja avaliada a melhoria da capacidade de acesso à informação de mercado por parte dos agricultores.</w:t>
            </w:r>
          </w:p>
        </w:tc>
        <w:tc>
          <w:tcPr>
            <w:tcW w:w="1134" w:type="dxa"/>
          </w:tcPr>
          <w:p w:rsidR="00F72FCB" w:rsidRPr="004242CE" w:rsidRDefault="00F72FCB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</w:tcPr>
          <w:p w:rsidR="00F72FCB" w:rsidRPr="00F72FCB" w:rsidRDefault="00F72FCB" w:rsidP="0042760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72FCB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O formato para medir as realizações deve ser o mesmo que o utilizado durante a Pesquisa Participativa de Linha de Base, para que os dados recolhidos "antes" e "depois" das intervenções SHEP possam ser comparados.</w:t>
            </w:r>
          </w:p>
        </w:tc>
      </w:tr>
    </w:tbl>
    <w:p w:rsidR="008B4467" w:rsidRPr="00F72FCB" w:rsidRDefault="008B4467">
      <w:pPr>
        <w:rPr>
          <w:lang w:val="pt-PT"/>
        </w:rPr>
      </w:pPr>
    </w:p>
    <w:sectPr w:rsidR="008B4467" w:rsidRPr="00F72FCB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33" w:rsidRDefault="00750133" w:rsidP="00917185">
      <w:r>
        <w:separator/>
      </w:r>
    </w:p>
  </w:endnote>
  <w:endnote w:type="continuationSeparator" w:id="0">
    <w:p w:rsidR="00750133" w:rsidRDefault="00750133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0F01AC" w:rsidP="00917185">
        <w:pPr>
          <w:pStyle w:val="a6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BE5DDD">
          <w:rPr>
            <w:rFonts w:ascii="Times New Roman" w:hAnsi="Times New Roman" w:cs="Times New Roman"/>
            <w:noProof/>
          </w:rPr>
          <w:t>1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33" w:rsidRDefault="00750133" w:rsidP="00917185">
      <w:r>
        <w:separator/>
      </w:r>
    </w:p>
  </w:footnote>
  <w:footnote w:type="continuationSeparator" w:id="0">
    <w:p w:rsidR="00750133" w:rsidRDefault="00750133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0F01AC"/>
    <w:rsid w:val="000F1C22"/>
    <w:rsid w:val="001228A8"/>
    <w:rsid w:val="00222575"/>
    <w:rsid w:val="00281429"/>
    <w:rsid w:val="002A25A5"/>
    <w:rsid w:val="002A68F4"/>
    <w:rsid w:val="00321595"/>
    <w:rsid w:val="00364192"/>
    <w:rsid w:val="0039284E"/>
    <w:rsid w:val="003B20F0"/>
    <w:rsid w:val="004242CE"/>
    <w:rsid w:val="00427022"/>
    <w:rsid w:val="0042760E"/>
    <w:rsid w:val="0044304C"/>
    <w:rsid w:val="005039B3"/>
    <w:rsid w:val="00504264"/>
    <w:rsid w:val="00515110"/>
    <w:rsid w:val="00577D34"/>
    <w:rsid w:val="005F6162"/>
    <w:rsid w:val="0063030E"/>
    <w:rsid w:val="00653AB9"/>
    <w:rsid w:val="00661E28"/>
    <w:rsid w:val="006A49B0"/>
    <w:rsid w:val="006B281F"/>
    <w:rsid w:val="006C515E"/>
    <w:rsid w:val="00750133"/>
    <w:rsid w:val="008076E6"/>
    <w:rsid w:val="008B4467"/>
    <w:rsid w:val="008E60B0"/>
    <w:rsid w:val="00903435"/>
    <w:rsid w:val="00917185"/>
    <w:rsid w:val="00980ADF"/>
    <w:rsid w:val="009A461F"/>
    <w:rsid w:val="00A56E01"/>
    <w:rsid w:val="00AA7E7F"/>
    <w:rsid w:val="00B17241"/>
    <w:rsid w:val="00B56468"/>
    <w:rsid w:val="00BA240D"/>
    <w:rsid w:val="00BE5DDD"/>
    <w:rsid w:val="00C86141"/>
    <w:rsid w:val="00CB449E"/>
    <w:rsid w:val="00DC1236"/>
    <w:rsid w:val="00E013C4"/>
    <w:rsid w:val="00E01CE2"/>
    <w:rsid w:val="00E24676"/>
    <w:rsid w:val="00E95EC0"/>
    <w:rsid w:val="00EA450E"/>
    <w:rsid w:val="00EB7D98"/>
    <w:rsid w:val="00EC2024"/>
    <w:rsid w:val="00EE6015"/>
    <w:rsid w:val="00F15BE3"/>
    <w:rsid w:val="00F20B60"/>
    <w:rsid w:val="00F61835"/>
    <w:rsid w:val="00F718CA"/>
    <w:rsid w:val="00F72FCB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D9DDC-42D5-4189-A752-20BDC969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  <w:style w:type="paragraph" w:styleId="a8">
    <w:name w:val="Balloon Text"/>
    <w:basedOn w:val="a"/>
    <w:link w:val="a9"/>
    <w:uiPriority w:val="99"/>
    <w:semiHidden/>
    <w:unhideWhenUsed/>
    <w:rsid w:val="00F20B60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B42B23D-4189-467C-A9E7-A0D1934E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E24DE-14A9-4280-ACE4-14D4070629EC}"/>
</file>

<file path=customXml/itemProps3.xml><?xml version="1.0" encoding="utf-8"?>
<ds:datastoreItem xmlns:ds="http://schemas.openxmlformats.org/officeDocument/2006/customXml" ds:itemID="{51AF7935-FE32-421D-A06C-AD470BBBF4F0}">
  <ds:schemaRefs>
    <ds:schemaRef ds:uri="http://schemas.microsoft.com/office/2006/metadata/properties"/>
    <ds:schemaRef ds:uri="http://schemas.microsoft.com/office/infopath/2007/PartnerControls"/>
    <ds:schemaRef ds:uri="b5df9216-17ea-4c10-abb6-43a658e75ede"/>
    <ds:schemaRef ds:uri="b94aba0d-0b37-450f-acf1-6ab612caf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Kuribayashi, Nobuaki[栗林 伸昭]</cp:lastModifiedBy>
  <cp:revision>5</cp:revision>
  <cp:lastPrinted>2022-10-31T13:18:00Z</cp:lastPrinted>
  <dcterms:created xsi:type="dcterms:W3CDTF">2022-10-31T12:28:00Z</dcterms:created>
  <dcterms:modified xsi:type="dcterms:W3CDTF">2022-12-28T08:53:00Z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