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A1C2A" w14:textId="77777777" w:rsidR="008B4467" w:rsidRPr="00F627C9" w:rsidRDefault="00F627C9" w:rsidP="008B4467">
      <w:pPr>
        <w:jc w:val="center"/>
        <w:rPr>
          <w:rFonts w:asciiTheme="majorHAnsi" w:hAnsiTheme="majorHAnsi" w:cstheme="majorHAnsi"/>
          <w:sz w:val="28"/>
          <w:shd w:val="pct15" w:color="auto" w:fill="FFFFFF"/>
          <w:lang w:val="es-CL"/>
        </w:rPr>
      </w:pPr>
      <w:r>
        <w:rPr>
          <w:rFonts w:asciiTheme="majorHAnsi" w:hAnsiTheme="majorHAnsi" w:cstheme="majorHAnsi"/>
          <w:sz w:val="28"/>
          <w:shd w:val="pct15" w:color="auto" w:fill="FFFFFF"/>
          <w:lang w:val="es-MX"/>
        </w:rPr>
        <w:t>Test sobre el taller de sensibilización</w:t>
      </w:r>
    </w:p>
    <w:p w14:paraId="00E75153" w14:textId="3724F083" w:rsidR="008B4467" w:rsidRPr="00F627C9" w:rsidRDefault="00E24676" w:rsidP="00E24676">
      <w:pPr>
        <w:jc w:val="center"/>
        <w:rPr>
          <w:rFonts w:asciiTheme="majorHAnsi" w:hAnsiTheme="majorHAnsi" w:cstheme="majorHAnsi" w:hint="eastAsia"/>
          <w:sz w:val="28"/>
          <w:szCs w:val="21"/>
          <w:lang w:val="es-MX"/>
        </w:rPr>
      </w:pPr>
      <w:r w:rsidRPr="00F627C9">
        <w:rPr>
          <w:rFonts w:asciiTheme="majorHAnsi" w:hAnsiTheme="majorHAnsi" w:cstheme="majorHAnsi"/>
          <w:sz w:val="28"/>
          <w:szCs w:val="21"/>
          <w:lang w:val="es-MX"/>
        </w:rPr>
        <w:t>Respuestas y explicaciones</w:t>
      </w:r>
    </w:p>
    <w:p w14:paraId="45279D5E" w14:textId="77777777" w:rsidR="008B4467" w:rsidRPr="00F627C9" w:rsidRDefault="008B4467" w:rsidP="008B4467">
      <w:pPr>
        <w:jc w:val="left"/>
        <w:rPr>
          <w:rFonts w:ascii="Times New Roman" w:hAnsi="Times New Roman" w:cs="Times New Roman"/>
          <w:szCs w:val="21"/>
          <w:lang w:val="es-MX"/>
        </w:rPr>
      </w:pPr>
    </w:p>
    <w:tbl>
      <w:tblPr>
        <w:tblStyle w:val="a3"/>
        <w:tblW w:w="14170" w:type="dxa"/>
        <w:jc w:val="center"/>
        <w:tblLook w:val="04A0" w:firstRow="1" w:lastRow="0" w:firstColumn="1" w:lastColumn="0" w:noHBand="0" w:noVBand="1"/>
      </w:tblPr>
      <w:tblGrid>
        <w:gridCol w:w="397"/>
        <w:gridCol w:w="1997"/>
        <w:gridCol w:w="6661"/>
        <w:gridCol w:w="1068"/>
        <w:gridCol w:w="4047"/>
      </w:tblGrid>
      <w:tr w:rsidR="00E24676" w:rsidRPr="00F627C9" w14:paraId="33C049AF" w14:textId="77777777" w:rsidTr="00E24676">
        <w:trPr>
          <w:jc w:val="center"/>
        </w:trPr>
        <w:tc>
          <w:tcPr>
            <w:tcW w:w="399" w:type="dxa"/>
            <w:shd w:val="clear" w:color="auto" w:fill="D9D9D9" w:themeFill="background1" w:themeFillShade="D9"/>
          </w:tcPr>
          <w:p w14:paraId="1BCCEC2E" w14:textId="77777777" w:rsidR="00E24676" w:rsidRPr="00F627C9" w:rsidRDefault="00E24676" w:rsidP="008B446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</w:p>
        </w:tc>
        <w:tc>
          <w:tcPr>
            <w:tcW w:w="2006" w:type="dxa"/>
            <w:shd w:val="clear" w:color="auto" w:fill="D9D9D9" w:themeFill="background1" w:themeFillShade="D9"/>
          </w:tcPr>
          <w:p w14:paraId="1F8D552A" w14:textId="77777777" w:rsidR="00E24676" w:rsidRPr="00F627C9" w:rsidRDefault="00E24676" w:rsidP="008B446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F627C9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Pregunta</w:t>
            </w:r>
          </w:p>
        </w:tc>
        <w:tc>
          <w:tcPr>
            <w:tcW w:w="6785" w:type="dxa"/>
            <w:shd w:val="clear" w:color="auto" w:fill="D9D9D9" w:themeFill="background1" w:themeFillShade="D9"/>
          </w:tcPr>
          <w:p w14:paraId="0C08E56E" w14:textId="77777777" w:rsidR="00E24676" w:rsidRPr="00F627C9" w:rsidRDefault="00E24676" w:rsidP="008B4467">
            <w:pPr>
              <w:jc w:val="center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F627C9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Alternativas</w:t>
            </w:r>
          </w:p>
        </w:tc>
        <w:tc>
          <w:tcPr>
            <w:tcW w:w="870" w:type="dxa"/>
            <w:shd w:val="clear" w:color="auto" w:fill="D9D9D9" w:themeFill="background1" w:themeFillShade="D9"/>
          </w:tcPr>
          <w:p w14:paraId="4C567724" w14:textId="77777777" w:rsidR="00E24676" w:rsidRPr="00F627C9" w:rsidRDefault="00E24676" w:rsidP="00E24676">
            <w:pPr>
              <w:jc w:val="center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F627C9">
              <w:rPr>
                <w:rFonts w:ascii="Times New Roman" w:hAnsi="Times New Roman" w:cs="Times New Roman"/>
                <w:szCs w:val="21"/>
                <w:lang w:val="es-MX"/>
              </w:rPr>
              <w:t>Respuesta</w:t>
            </w:r>
          </w:p>
        </w:tc>
        <w:tc>
          <w:tcPr>
            <w:tcW w:w="4110" w:type="dxa"/>
            <w:shd w:val="clear" w:color="auto" w:fill="D9D9D9" w:themeFill="background1" w:themeFillShade="D9"/>
          </w:tcPr>
          <w:p w14:paraId="2C25732D" w14:textId="77777777" w:rsidR="00E24676" w:rsidRPr="00F627C9" w:rsidRDefault="00E24676" w:rsidP="008B4467">
            <w:pPr>
              <w:jc w:val="center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F627C9">
              <w:rPr>
                <w:rFonts w:ascii="Times New Roman" w:hAnsi="Times New Roman" w:cs="Times New Roman"/>
                <w:szCs w:val="21"/>
                <w:lang w:val="es-MX"/>
              </w:rPr>
              <w:t>Explicación</w:t>
            </w:r>
          </w:p>
        </w:tc>
      </w:tr>
      <w:tr w:rsidR="00E24676" w:rsidRPr="00F627C9" w14:paraId="45388802" w14:textId="77777777" w:rsidTr="00E24676">
        <w:trPr>
          <w:jc w:val="center"/>
        </w:trPr>
        <w:tc>
          <w:tcPr>
            <w:tcW w:w="399" w:type="dxa"/>
          </w:tcPr>
          <w:p w14:paraId="72D78B39" w14:textId="77777777" w:rsidR="00E24676" w:rsidRPr="00F627C9" w:rsidRDefault="00E24676" w:rsidP="008B4467">
            <w:pPr>
              <w:widowControl/>
              <w:jc w:val="left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F627C9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1</w:t>
            </w:r>
          </w:p>
        </w:tc>
        <w:tc>
          <w:tcPr>
            <w:tcW w:w="2006" w:type="dxa"/>
          </w:tcPr>
          <w:p w14:paraId="520502F1" w14:textId="77777777" w:rsidR="00E24676" w:rsidRPr="00F627C9" w:rsidRDefault="00E24676" w:rsidP="00B56468">
            <w:pPr>
              <w:widowControl/>
              <w:jc w:val="left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F627C9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¿Cuál de las siguientes afirmaciones NO describe adecuadamente el propósito del taller de sensibilización?</w:t>
            </w:r>
          </w:p>
        </w:tc>
        <w:tc>
          <w:tcPr>
            <w:tcW w:w="6785" w:type="dxa"/>
          </w:tcPr>
          <w:p w14:paraId="254EAD7F" w14:textId="77777777" w:rsidR="00E24676" w:rsidRPr="00F627C9" w:rsidRDefault="00E24676" w:rsidP="008B4467">
            <w:pPr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F627C9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1. Lograr que los agricultores objetivo entiendan la importancia de trabajar juntos como grupo para recibir subsidios y subvenciones del gobierno.</w:t>
            </w:r>
            <w:r w:rsidRPr="00F627C9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br/>
              <w:t xml:space="preserve">2. Ayudar a los agricultores objetivo a empezar el proceso para cambiar la mentalidad de «producir y vender» a «producir para vender». </w:t>
            </w:r>
            <w:r w:rsidRPr="00F627C9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br/>
              <w:t>3. Compartir con los agricultores objetivo la visión del SHEP, que consiste en lograr mejores medios de subsistencia a través del negocio agrícola.</w:t>
            </w:r>
            <w:r w:rsidRPr="00F627C9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br/>
              <w:t>4. Lograr que los agricultores objetivo entiendan que el SHEP consiste en desarrollar las capacidades y no en entregar apoyo material ni financiero.</w:t>
            </w:r>
          </w:p>
        </w:tc>
        <w:tc>
          <w:tcPr>
            <w:tcW w:w="870" w:type="dxa"/>
          </w:tcPr>
          <w:p w14:paraId="5662A1B9" w14:textId="77777777" w:rsidR="00E24676" w:rsidRPr="00F627C9" w:rsidRDefault="00E24676" w:rsidP="00E24676">
            <w:pPr>
              <w:jc w:val="center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F627C9">
              <w:rPr>
                <w:rFonts w:ascii="Times New Roman" w:hAnsi="Times New Roman" w:cs="Times New Roman"/>
                <w:szCs w:val="21"/>
                <w:lang w:val="es-MX"/>
              </w:rPr>
              <w:t>1</w:t>
            </w:r>
          </w:p>
        </w:tc>
        <w:tc>
          <w:tcPr>
            <w:tcW w:w="4110" w:type="dxa"/>
          </w:tcPr>
          <w:p w14:paraId="20E32614" w14:textId="77777777" w:rsidR="00E24676" w:rsidRPr="00F627C9" w:rsidRDefault="00E24676" w:rsidP="008B4467">
            <w:pPr>
              <w:rPr>
                <w:rFonts w:ascii="Times New Roman" w:hAnsi="Times New Roman" w:cs="Times New Roman"/>
                <w:szCs w:val="21"/>
                <w:lang w:val="es-MX"/>
              </w:rPr>
            </w:pPr>
            <w:r w:rsidRPr="00F627C9">
              <w:rPr>
                <w:rFonts w:ascii="Times New Roman" w:hAnsi="Times New Roman" w:cs="Times New Roman"/>
                <w:szCs w:val="21"/>
                <w:lang w:val="es-MX"/>
              </w:rPr>
              <w:t>El SHEP otorga importancia a la autonomía de los agricultores en su agricultura como negocio. El SHEP incentiva a los agricultores objetivo a no depender del apoyo material o financiero de agencias externas.</w:t>
            </w:r>
          </w:p>
        </w:tc>
      </w:tr>
      <w:tr w:rsidR="00E24676" w:rsidRPr="00F627C9" w14:paraId="32CB33AD" w14:textId="77777777" w:rsidTr="00E24676">
        <w:trPr>
          <w:jc w:val="center"/>
        </w:trPr>
        <w:tc>
          <w:tcPr>
            <w:tcW w:w="399" w:type="dxa"/>
          </w:tcPr>
          <w:p w14:paraId="24C69E27" w14:textId="77777777" w:rsidR="00E24676" w:rsidRPr="00F627C9" w:rsidRDefault="00E24676" w:rsidP="008B4467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F627C9">
              <w:rPr>
                <w:rFonts w:ascii="Times New Roman" w:hAnsi="Times New Roman" w:cs="Times New Roman"/>
                <w:szCs w:val="21"/>
                <w:lang w:val="es-MX"/>
              </w:rPr>
              <w:t>2</w:t>
            </w:r>
          </w:p>
        </w:tc>
        <w:tc>
          <w:tcPr>
            <w:tcW w:w="2006" w:type="dxa"/>
          </w:tcPr>
          <w:p w14:paraId="72AE0772" w14:textId="77777777" w:rsidR="00E24676" w:rsidRPr="00F627C9" w:rsidRDefault="00E24676" w:rsidP="00B56468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F627C9">
              <w:rPr>
                <w:rFonts w:ascii="Times New Roman" w:hAnsi="Times New Roman" w:cs="Times New Roman"/>
                <w:szCs w:val="21"/>
                <w:lang w:val="es-MX"/>
              </w:rPr>
              <w:t>¿Cuál es el objetivo principal del taller de sensibilización?</w:t>
            </w:r>
          </w:p>
        </w:tc>
        <w:tc>
          <w:tcPr>
            <w:tcW w:w="6785" w:type="dxa"/>
          </w:tcPr>
          <w:p w14:paraId="196092FB" w14:textId="77777777" w:rsidR="00E24676" w:rsidRPr="00F627C9" w:rsidRDefault="00E24676" w:rsidP="008B4467">
            <w:pPr>
              <w:rPr>
                <w:rFonts w:ascii="Times New Roman" w:hAnsi="Times New Roman" w:cs="Times New Roman"/>
                <w:szCs w:val="21"/>
                <w:lang w:val="es-MX"/>
              </w:rPr>
            </w:pPr>
            <w:r w:rsidRPr="00F627C9">
              <w:rPr>
                <w:rFonts w:ascii="Times New Roman" w:hAnsi="Times New Roman" w:cs="Times New Roman"/>
                <w:szCs w:val="21"/>
                <w:lang w:val="es-MX"/>
              </w:rPr>
              <w:t>1. Lograr que los agricultores entiendan la importancia del mejorar sus habilidades agrícolas y administrativas para que puedan ser autosuficientes.</w:t>
            </w:r>
            <w:r w:rsidRPr="00F627C9">
              <w:rPr>
                <w:rFonts w:ascii="Times New Roman" w:hAnsi="Times New Roman" w:cs="Times New Roman"/>
                <w:szCs w:val="21"/>
                <w:lang w:val="es-MX"/>
              </w:rPr>
              <w:br/>
              <w:t xml:space="preserve">2. Realizar estudios del mercado para elegir los cultivos objetivo. </w:t>
            </w:r>
            <w:r w:rsidRPr="00F627C9">
              <w:rPr>
                <w:rFonts w:ascii="Times New Roman" w:hAnsi="Times New Roman" w:cs="Times New Roman"/>
                <w:szCs w:val="21"/>
                <w:lang w:val="es-MX"/>
              </w:rPr>
              <w:br/>
              <w:t>3. Prometer a los agricultores objetivo que si tienen una alta asistencia a las capacitaciones del SHEP recibirán un subsidio para semillas y fertilizante</w:t>
            </w:r>
            <w:r w:rsidR="00831B3B">
              <w:rPr>
                <w:rFonts w:ascii="Times New Roman" w:hAnsi="Times New Roman" w:cs="Times New Roman"/>
                <w:szCs w:val="21"/>
                <w:lang w:val="es-MX"/>
              </w:rPr>
              <w:t>s</w:t>
            </w:r>
            <w:r w:rsidRPr="00F627C9">
              <w:rPr>
                <w:rFonts w:ascii="Times New Roman" w:hAnsi="Times New Roman" w:cs="Times New Roman"/>
                <w:szCs w:val="21"/>
                <w:lang w:val="es-MX"/>
              </w:rPr>
              <w:t>.</w:t>
            </w:r>
            <w:r w:rsidRPr="00F627C9">
              <w:rPr>
                <w:rFonts w:ascii="Times New Roman" w:hAnsi="Times New Roman" w:cs="Times New Roman"/>
                <w:szCs w:val="21"/>
                <w:lang w:val="es-MX"/>
              </w:rPr>
              <w:br/>
              <w:t>4. Distribuir varios formularios de encuestas y materiales de capacitación para que los agricultores objetivo se lleven a casa.</w:t>
            </w:r>
          </w:p>
        </w:tc>
        <w:tc>
          <w:tcPr>
            <w:tcW w:w="870" w:type="dxa"/>
          </w:tcPr>
          <w:p w14:paraId="28F376AF" w14:textId="77777777" w:rsidR="00E24676" w:rsidRPr="00F627C9" w:rsidRDefault="00E24676" w:rsidP="00E24676">
            <w:pPr>
              <w:jc w:val="center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F627C9">
              <w:rPr>
                <w:rFonts w:ascii="Times New Roman" w:hAnsi="Times New Roman" w:cs="Times New Roman"/>
                <w:szCs w:val="21"/>
                <w:lang w:val="es-MX"/>
              </w:rPr>
              <w:t>1</w:t>
            </w:r>
          </w:p>
        </w:tc>
        <w:tc>
          <w:tcPr>
            <w:tcW w:w="4110" w:type="dxa"/>
          </w:tcPr>
          <w:p w14:paraId="1F1CE6B3" w14:textId="77777777" w:rsidR="00E24676" w:rsidRPr="00F627C9" w:rsidRDefault="00B56468" w:rsidP="008B4467">
            <w:pPr>
              <w:rPr>
                <w:rFonts w:ascii="Times New Roman" w:hAnsi="Times New Roman" w:cs="Times New Roman"/>
                <w:szCs w:val="21"/>
                <w:lang w:val="es-MX"/>
              </w:rPr>
            </w:pPr>
            <w:r w:rsidRPr="00F627C9">
              <w:rPr>
                <w:rFonts w:ascii="Times New Roman" w:hAnsi="Times New Roman" w:cs="Times New Roman"/>
                <w:szCs w:val="21"/>
                <w:lang w:val="es-MX"/>
              </w:rPr>
              <w:t>El objetivo principal de la sensibilización es compartir el objetivo del SHEP con los agricultores objetivo.</w:t>
            </w:r>
          </w:p>
        </w:tc>
      </w:tr>
      <w:tr w:rsidR="00A65D45" w:rsidRPr="00F627C9" w14:paraId="5683D5D7" w14:textId="77777777" w:rsidTr="00E24676">
        <w:trPr>
          <w:jc w:val="center"/>
        </w:trPr>
        <w:tc>
          <w:tcPr>
            <w:tcW w:w="399" w:type="dxa"/>
          </w:tcPr>
          <w:p w14:paraId="388A34BD" w14:textId="77777777" w:rsidR="00A65D45" w:rsidRPr="00F627C9" w:rsidRDefault="00A65D45" w:rsidP="008B4467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F627C9">
              <w:rPr>
                <w:rFonts w:ascii="Times New Roman" w:hAnsi="Times New Roman" w:cs="Times New Roman"/>
                <w:szCs w:val="21"/>
                <w:lang w:val="es-MX"/>
              </w:rPr>
              <w:t>3</w:t>
            </w:r>
          </w:p>
        </w:tc>
        <w:tc>
          <w:tcPr>
            <w:tcW w:w="2006" w:type="dxa"/>
          </w:tcPr>
          <w:p w14:paraId="2915F5AD" w14:textId="77777777" w:rsidR="00A65D45" w:rsidRPr="00F627C9" w:rsidRDefault="00A65D45" w:rsidP="00A65D45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F627C9">
              <w:rPr>
                <w:rFonts w:ascii="Times New Roman" w:hAnsi="Times New Roman" w:cs="Times New Roman"/>
                <w:szCs w:val="21"/>
                <w:lang w:val="es-MX"/>
              </w:rPr>
              <w:t xml:space="preserve">¿Por qué el taller de sensibilización debe incluir el debate acerca de la igualdad de género y el </w:t>
            </w:r>
            <w:r w:rsidRPr="00F627C9">
              <w:rPr>
                <w:rFonts w:ascii="Times New Roman" w:hAnsi="Times New Roman" w:cs="Times New Roman"/>
                <w:szCs w:val="21"/>
                <w:lang w:val="es-MX"/>
              </w:rPr>
              <w:lastRenderedPageBreak/>
              <w:t>empoderamiento femenino?</w:t>
            </w:r>
          </w:p>
        </w:tc>
        <w:tc>
          <w:tcPr>
            <w:tcW w:w="6785" w:type="dxa"/>
          </w:tcPr>
          <w:p w14:paraId="4A7EBE78" w14:textId="77777777" w:rsidR="00A65D45" w:rsidRPr="00F627C9" w:rsidRDefault="00A65D45" w:rsidP="00A65D45">
            <w:pPr>
              <w:rPr>
                <w:rFonts w:ascii="Times New Roman" w:hAnsi="Times New Roman" w:cs="Times New Roman"/>
                <w:szCs w:val="21"/>
                <w:lang w:val="es-MX"/>
              </w:rPr>
            </w:pPr>
            <w:r w:rsidRPr="00F627C9">
              <w:rPr>
                <w:rFonts w:ascii="Times New Roman" w:hAnsi="Times New Roman" w:cs="Times New Roman"/>
                <w:szCs w:val="21"/>
                <w:lang w:val="es-MX"/>
              </w:rPr>
              <w:lastRenderedPageBreak/>
              <w:t>1. Porque si se debate sobre los asuntos de género, hay mayor posibilidad de que los grupos de agricultores puedan captar asistencia financiera de parte del Ministerio de Género.</w:t>
            </w:r>
          </w:p>
          <w:p w14:paraId="7B5DEC83" w14:textId="77777777" w:rsidR="00A65D45" w:rsidRPr="00F627C9" w:rsidRDefault="00A65D45" w:rsidP="00A65D45">
            <w:pPr>
              <w:rPr>
                <w:rFonts w:ascii="Times New Roman" w:hAnsi="Times New Roman" w:cs="Times New Roman"/>
                <w:szCs w:val="21"/>
                <w:lang w:val="es-MX"/>
              </w:rPr>
            </w:pPr>
            <w:r w:rsidRPr="00F627C9">
              <w:rPr>
                <w:rFonts w:ascii="Times New Roman" w:hAnsi="Times New Roman" w:cs="Times New Roman"/>
                <w:szCs w:val="21"/>
                <w:lang w:val="es-MX"/>
              </w:rPr>
              <w:t>2. Porque el objetivo primordial del SHEP es alcanzar la igualdad de género.</w:t>
            </w:r>
          </w:p>
          <w:p w14:paraId="5D476582" w14:textId="77777777" w:rsidR="00A65D45" w:rsidRPr="00F627C9" w:rsidRDefault="00A65D45" w:rsidP="00A65D45">
            <w:pPr>
              <w:rPr>
                <w:rFonts w:ascii="Times New Roman" w:hAnsi="Times New Roman" w:cs="Times New Roman"/>
                <w:szCs w:val="21"/>
                <w:lang w:val="es-MX"/>
              </w:rPr>
            </w:pPr>
            <w:r w:rsidRPr="00F627C9">
              <w:rPr>
                <w:rFonts w:ascii="Times New Roman" w:hAnsi="Times New Roman" w:cs="Times New Roman"/>
                <w:szCs w:val="21"/>
                <w:lang w:val="es-MX"/>
              </w:rPr>
              <w:t>3. Porque JICA exige que todos los proyectos comiencen con reuniones sobre el género.</w:t>
            </w:r>
          </w:p>
          <w:p w14:paraId="170E1940" w14:textId="77777777" w:rsidR="00A65D45" w:rsidRPr="00F627C9" w:rsidRDefault="00A65D45" w:rsidP="00A65D45">
            <w:pPr>
              <w:rPr>
                <w:rFonts w:ascii="Times New Roman" w:hAnsi="Times New Roman" w:cs="Times New Roman"/>
                <w:szCs w:val="21"/>
                <w:lang w:val="es-MX"/>
              </w:rPr>
            </w:pPr>
            <w:r w:rsidRPr="00F627C9">
              <w:rPr>
                <w:rFonts w:ascii="Times New Roman" w:hAnsi="Times New Roman" w:cs="Times New Roman"/>
                <w:szCs w:val="21"/>
                <w:lang w:val="es-MX"/>
              </w:rPr>
              <w:lastRenderedPageBreak/>
              <w:t>4. Porque para lograr una mejor gestión agrícola se necesita de la participación equitativa de hombres y mujeres durante las sesiones de capacitación del SHEP.</w:t>
            </w:r>
          </w:p>
        </w:tc>
        <w:tc>
          <w:tcPr>
            <w:tcW w:w="870" w:type="dxa"/>
          </w:tcPr>
          <w:p w14:paraId="12EB6ABE" w14:textId="77777777" w:rsidR="00A65D45" w:rsidRPr="00F627C9" w:rsidRDefault="00A65D45" w:rsidP="00E24676">
            <w:pPr>
              <w:jc w:val="center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F627C9">
              <w:rPr>
                <w:rFonts w:ascii="Times New Roman" w:hAnsi="Times New Roman" w:cs="Times New Roman"/>
                <w:szCs w:val="21"/>
                <w:lang w:val="es-MX"/>
              </w:rPr>
              <w:lastRenderedPageBreak/>
              <w:t>4</w:t>
            </w:r>
          </w:p>
        </w:tc>
        <w:tc>
          <w:tcPr>
            <w:tcW w:w="4110" w:type="dxa"/>
          </w:tcPr>
          <w:p w14:paraId="6C6AC13B" w14:textId="77777777" w:rsidR="00A65D45" w:rsidRPr="00F627C9" w:rsidRDefault="00A65D45" w:rsidP="008B4467">
            <w:pPr>
              <w:rPr>
                <w:rFonts w:ascii="Times New Roman" w:hAnsi="Times New Roman" w:cs="Times New Roman"/>
                <w:szCs w:val="21"/>
                <w:lang w:val="es-MX"/>
              </w:rPr>
            </w:pPr>
            <w:r w:rsidRPr="00F627C9">
              <w:rPr>
                <w:rFonts w:ascii="Times New Roman" w:hAnsi="Times New Roman" w:cs="Times New Roman"/>
                <w:szCs w:val="21"/>
                <w:lang w:val="es-MX"/>
              </w:rPr>
              <w:t>El SHEP considera el género como una parte integral y esencial del negocio en la gestión agrícola.</w:t>
            </w:r>
          </w:p>
        </w:tc>
      </w:tr>
      <w:tr w:rsidR="00E24676" w:rsidRPr="00F627C9" w14:paraId="37D8DCAF" w14:textId="77777777" w:rsidTr="00E24676">
        <w:trPr>
          <w:jc w:val="center"/>
        </w:trPr>
        <w:tc>
          <w:tcPr>
            <w:tcW w:w="399" w:type="dxa"/>
          </w:tcPr>
          <w:p w14:paraId="1AAF780B" w14:textId="77777777" w:rsidR="00E24676" w:rsidRPr="00F627C9" w:rsidRDefault="00A65D45" w:rsidP="008B4467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F627C9">
              <w:rPr>
                <w:rFonts w:ascii="Times New Roman" w:hAnsi="Times New Roman" w:cs="Times New Roman"/>
                <w:szCs w:val="21"/>
                <w:lang w:val="es-MX"/>
              </w:rPr>
              <w:t>4</w:t>
            </w:r>
          </w:p>
        </w:tc>
        <w:tc>
          <w:tcPr>
            <w:tcW w:w="2006" w:type="dxa"/>
          </w:tcPr>
          <w:p w14:paraId="589CF6CA" w14:textId="77777777" w:rsidR="00E24676" w:rsidRPr="00F627C9" w:rsidRDefault="00E24676" w:rsidP="00B56468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F627C9">
              <w:rPr>
                <w:rFonts w:ascii="Times New Roman" w:hAnsi="Times New Roman" w:cs="Times New Roman"/>
                <w:szCs w:val="21"/>
                <w:lang w:val="es-MX"/>
              </w:rPr>
              <w:t>¿Cuál de las siguientes reacciones de los agricultores objetivo debemos esperar después del taller de sensibilización?</w:t>
            </w:r>
          </w:p>
        </w:tc>
        <w:tc>
          <w:tcPr>
            <w:tcW w:w="6785" w:type="dxa"/>
          </w:tcPr>
          <w:p w14:paraId="18B49773" w14:textId="77777777" w:rsidR="00E24676" w:rsidRPr="00F627C9" w:rsidRDefault="00E24676" w:rsidP="008B4467">
            <w:pPr>
              <w:rPr>
                <w:rFonts w:ascii="Times New Roman" w:hAnsi="Times New Roman" w:cs="Times New Roman"/>
                <w:szCs w:val="21"/>
                <w:lang w:val="es-MX"/>
              </w:rPr>
            </w:pPr>
            <w:r w:rsidRPr="00F627C9">
              <w:rPr>
                <w:rFonts w:ascii="Times New Roman" w:hAnsi="Times New Roman" w:cs="Times New Roman"/>
                <w:szCs w:val="21"/>
                <w:lang w:val="es-MX"/>
              </w:rPr>
              <w:t xml:space="preserve">1. «Qué bueno que fuimos </w:t>
            </w:r>
            <w:proofErr w:type="gramStart"/>
            <w:r w:rsidRPr="00F627C9">
              <w:rPr>
                <w:rFonts w:ascii="Times New Roman" w:hAnsi="Times New Roman" w:cs="Times New Roman"/>
                <w:szCs w:val="21"/>
                <w:lang w:val="es-MX"/>
              </w:rPr>
              <w:t>elegidos como</w:t>
            </w:r>
            <w:proofErr w:type="gramEnd"/>
            <w:r w:rsidRPr="00F627C9">
              <w:rPr>
                <w:rFonts w:ascii="Times New Roman" w:hAnsi="Times New Roman" w:cs="Times New Roman"/>
                <w:szCs w:val="21"/>
                <w:lang w:val="es-MX"/>
              </w:rPr>
              <w:t xml:space="preserve"> agricultores objetivo, ya que podemos esperar algunos subsidios gubernamentales en el futuro».</w:t>
            </w:r>
            <w:r w:rsidRPr="00F627C9">
              <w:rPr>
                <w:rFonts w:ascii="Times New Roman" w:hAnsi="Times New Roman" w:cs="Times New Roman"/>
                <w:szCs w:val="21"/>
                <w:lang w:val="es-MX"/>
              </w:rPr>
              <w:br/>
              <w:t>2. «Entendemos que el enfoque SHEP nos permitirá obtener algunos bienes e instalaciones como centros de recolección y maquinaria agrícola».</w:t>
            </w:r>
            <w:r w:rsidRPr="00F627C9">
              <w:rPr>
                <w:rFonts w:ascii="Times New Roman" w:hAnsi="Times New Roman" w:cs="Times New Roman"/>
                <w:szCs w:val="21"/>
                <w:lang w:val="es-MX"/>
              </w:rPr>
              <w:br/>
              <w:t xml:space="preserve">3. «Tras los cursos del SHEP nos hemos dado cuenta </w:t>
            </w:r>
            <w:proofErr w:type="gramStart"/>
            <w:r w:rsidRPr="00F627C9">
              <w:rPr>
                <w:rFonts w:ascii="Times New Roman" w:hAnsi="Times New Roman" w:cs="Times New Roman"/>
                <w:szCs w:val="21"/>
                <w:lang w:val="es-MX"/>
              </w:rPr>
              <w:t>que</w:t>
            </w:r>
            <w:proofErr w:type="gramEnd"/>
            <w:r w:rsidRPr="00F627C9">
              <w:rPr>
                <w:rFonts w:ascii="Times New Roman" w:hAnsi="Times New Roman" w:cs="Times New Roman"/>
                <w:szCs w:val="21"/>
                <w:lang w:val="es-MX"/>
              </w:rPr>
              <w:t xml:space="preserve"> convertirnos en agricultores autosuficientes depende de nosotros».</w:t>
            </w:r>
            <w:r w:rsidRPr="00F627C9">
              <w:rPr>
                <w:rFonts w:ascii="Times New Roman" w:hAnsi="Times New Roman" w:cs="Times New Roman"/>
                <w:szCs w:val="21"/>
                <w:lang w:val="es-MX"/>
              </w:rPr>
              <w:br/>
              <w:t>4. «Estamos contentos de poder recibir préstamos para mejorar nuestra inversión en agricultura si completamos con éxito las capacitaciones del SHEP».</w:t>
            </w:r>
          </w:p>
        </w:tc>
        <w:tc>
          <w:tcPr>
            <w:tcW w:w="870" w:type="dxa"/>
          </w:tcPr>
          <w:p w14:paraId="6322D81D" w14:textId="77777777" w:rsidR="00E24676" w:rsidRPr="00F627C9" w:rsidRDefault="00E24676" w:rsidP="00E24676">
            <w:pPr>
              <w:jc w:val="center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F627C9">
              <w:rPr>
                <w:rFonts w:ascii="Times New Roman" w:hAnsi="Times New Roman" w:cs="Times New Roman"/>
                <w:szCs w:val="21"/>
                <w:lang w:val="es-MX"/>
              </w:rPr>
              <w:t>3</w:t>
            </w:r>
          </w:p>
        </w:tc>
        <w:tc>
          <w:tcPr>
            <w:tcW w:w="4110" w:type="dxa"/>
          </w:tcPr>
          <w:p w14:paraId="4AC9B95C" w14:textId="77777777" w:rsidR="00E24676" w:rsidRPr="00F627C9" w:rsidRDefault="00E24676" w:rsidP="008B4467">
            <w:pPr>
              <w:rPr>
                <w:rFonts w:ascii="Times New Roman" w:hAnsi="Times New Roman" w:cs="Times New Roman"/>
                <w:szCs w:val="21"/>
                <w:lang w:val="es-MX"/>
              </w:rPr>
            </w:pPr>
            <w:r w:rsidRPr="00F627C9">
              <w:rPr>
                <w:rFonts w:ascii="Times New Roman" w:hAnsi="Times New Roman" w:cs="Times New Roman"/>
                <w:szCs w:val="21"/>
                <w:lang w:val="es-MX"/>
              </w:rPr>
              <w:t>EL enfoque SHEP apunta a fortalecer la capacidad de los agricultores de modo tal que puedan volverse autosuficientes y que tengan éxito en la agricultura como negocio.</w:t>
            </w:r>
          </w:p>
        </w:tc>
      </w:tr>
    </w:tbl>
    <w:p w14:paraId="1596EC62" w14:textId="77777777" w:rsidR="008B4467" w:rsidRPr="00F627C9" w:rsidRDefault="008B4467">
      <w:pPr>
        <w:rPr>
          <w:lang w:val="es-MX"/>
        </w:rPr>
      </w:pPr>
    </w:p>
    <w:sectPr w:rsidR="008B4467" w:rsidRPr="00F627C9" w:rsidSect="008B4467">
      <w:footerReference w:type="default" r:id="rId6"/>
      <w:pgSz w:w="16838" w:h="11906" w:orient="landscape"/>
      <w:pgMar w:top="1135" w:right="1529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39FB7" w14:textId="77777777" w:rsidR="00AC7F91" w:rsidRDefault="00AC7F91" w:rsidP="00917185">
      <w:r>
        <w:separator/>
      </w:r>
    </w:p>
  </w:endnote>
  <w:endnote w:type="continuationSeparator" w:id="0">
    <w:p w14:paraId="62765CB7" w14:textId="77777777" w:rsidR="00AC7F91" w:rsidRDefault="00AC7F91" w:rsidP="00917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-18492520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8293BE" w14:textId="77777777" w:rsidR="00917185" w:rsidRPr="00917185" w:rsidRDefault="00917185" w:rsidP="00917185">
        <w:pPr>
          <w:pStyle w:val="a6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   \* MERGEFORMAT </w:instrText>
        </w:r>
        <w:r>
          <w:rPr>
            <w:rFonts w:ascii="Times New Roman" w:hAnsi="Times New Roman" w:cs="Times New Roman"/>
          </w:rPr>
          <w:fldChar w:fldCharType="separate"/>
        </w:r>
        <w:r w:rsidR="00831B3B"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 w:cs="Times New Roman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73807" w14:textId="77777777" w:rsidR="00AC7F91" w:rsidRDefault="00AC7F91" w:rsidP="00917185">
      <w:r>
        <w:separator/>
      </w:r>
    </w:p>
  </w:footnote>
  <w:footnote w:type="continuationSeparator" w:id="0">
    <w:p w14:paraId="7051752A" w14:textId="77777777" w:rsidR="00AC7F91" w:rsidRDefault="00AC7F91" w:rsidP="009171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hyphenationZone w:val="425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508"/>
    <w:rsid w:val="00025508"/>
    <w:rsid w:val="000D430B"/>
    <w:rsid w:val="00515110"/>
    <w:rsid w:val="00831B3B"/>
    <w:rsid w:val="008B4467"/>
    <w:rsid w:val="00903435"/>
    <w:rsid w:val="00917185"/>
    <w:rsid w:val="00A65D45"/>
    <w:rsid w:val="00AC7F91"/>
    <w:rsid w:val="00B10CF8"/>
    <w:rsid w:val="00B56468"/>
    <w:rsid w:val="00C90F69"/>
    <w:rsid w:val="00CB449E"/>
    <w:rsid w:val="00E24676"/>
    <w:rsid w:val="00EB7D98"/>
    <w:rsid w:val="00EE3931"/>
    <w:rsid w:val="00EE6015"/>
    <w:rsid w:val="00F62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5A614F"/>
  <w15:chartTrackingRefBased/>
  <w15:docId w15:val="{64F0C724-C2A7-42CB-A356-4917B0D6E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44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171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7185"/>
  </w:style>
  <w:style w:type="paragraph" w:styleId="a6">
    <w:name w:val="footer"/>
    <w:basedOn w:val="a"/>
    <w:link w:val="a7"/>
    <w:uiPriority w:val="99"/>
    <w:unhideWhenUsed/>
    <w:rsid w:val="009171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71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F11E3B5A638248B8360CDC73F5175A" ma:contentTypeVersion="16" ma:contentTypeDescription="新しいドキュメントを作成します。" ma:contentTypeScope="" ma:versionID="ebfe80232c898dbef27a1fbbc7cca82b">
  <xsd:schema xmlns:xsd="http://www.w3.org/2001/XMLSchema" xmlns:xs="http://www.w3.org/2001/XMLSchema" xmlns:p="http://schemas.microsoft.com/office/2006/metadata/properties" xmlns:ns2="b5df9216-17ea-4c10-abb6-43a658e75ede" xmlns:ns3="b94aba0d-0b37-450f-acf1-6ab612cafb6d" targetNamespace="http://schemas.microsoft.com/office/2006/metadata/properties" ma:root="true" ma:fieldsID="db8272c95ff05eede5056ccb1aba1cc7" ns2:_="" ns3:_="">
    <xsd:import namespace="b5df9216-17ea-4c10-abb6-43a658e75ede"/>
    <xsd:import namespace="b94aba0d-0b37-450f-acf1-6ab612cafb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df9216-17ea-4c10-abb6-43a658e75e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7e32e000-d71a-4941-98f3-c6f5b59317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4aba0d-0b37-450f-acf1-6ab612cafb6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30e04c1-ccbc-4a27-94ac-d2f26473e50f}" ma:internalName="TaxCatchAll" ma:showField="CatchAllData" ma:web="b94aba0d-0b37-450f-acf1-6ab612cafb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df9216-17ea-4c10-abb6-43a658e75ede">
      <Terms xmlns="http://schemas.microsoft.com/office/infopath/2007/PartnerControls"/>
    </lcf76f155ced4ddcb4097134ff3c332f>
    <TaxCatchAll xmlns="b94aba0d-0b37-450f-acf1-6ab612cafb6d" xsi:nil="true"/>
    <SharedWithUsers xmlns="b94aba0d-0b37-450f-acf1-6ab612cafb6d">
      <UserInfo>
        <DisplayName/>
        <AccountId xsi:nil="true"/>
        <AccountType/>
      </UserInfo>
    </SharedWithUsers>
    <MediaLengthInSeconds xmlns="b5df9216-17ea-4c10-abb6-43a658e75ede" xsi:nil="true"/>
  </documentManagement>
</p:properties>
</file>

<file path=customXml/itemProps1.xml><?xml version="1.0" encoding="utf-8"?>
<ds:datastoreItem xmlns:ds="http://schemas.openxmlformats.org/officeDocument/2006/customXml" ds:itemID="{36A113FD-92D1-4A29-B951-505A47F0D7CD}"/>
</file>

<file path=customXml/itemProps2.xml><?xml version="1.0" encoding="utf-8"?>
<ds:datastoreItem xmlns:ds="http://schemas.openxmlformats.org/officeDocument/2006/customXml" ds:itemID="{CEB3CF13-D496-468E-9A9B-04DEC222A342}"/>
</file>

<file path=customXml/itemProps3.xml><?xml version="1.0" encoding="utf-8"?>
<ds:datastoreItem xmlns:ds="http://schemas.openxmlformats.org/officeDocument/2006/customXml" ds:itemID="{B23184C5-E049-4EE4-A3AD-3EB3D7A7E3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494</Words>
  <Characters>2757</Characters>
  <Application>Microsoft Office Word</Application>
  <DocSecurity>0</DocSecurity>
  <Lines>88</Lines>
  <Paragraphs>29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Shuto Kumiko</dc:creator>
  <cp:keywords/>
  <dc:description/>
  <cp:lastModifiedBy>Nipros</cp:lastModifiedBy>
  <cp:revision>9</cp:revision>
  <dcterms:created xsi:type="dcterms:W3CDTF">2020-08-05T23:21:00Z</dcterms:created>
  <dcterms:modified xsi:type="dcterms:W3CDTF">2021-12-23T02:57:00Z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0x010100D3F11E3B5A638248B8360CDC73F5175A</vt:lpwstr>
  </property>
  <property fmtid="{D5CDD505-2E9C-101B-9397-08002B2CF9AE}" pid="3" name="Order">
    <vt:r8>151976400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MediaServiceImageTags">
    <vt:lpwstr/>
  </property>
</Properties>
</file>