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E207" w14:textId="77777777" w:rsidR="008B4467" w:rsidRPr="00AB52F1" w:rsidRDefault="008B4467" w:rsidP="008B4467">
      <w:pPr>
        <w:jc w:val="center"/>
        <w:rPr>
          <w:rFonts w:asciiTheme="majorHAnsi" w:hAnsiTheme="majorHAnsi" w:cstheme="majorHAnsi"/>
          <w:sz w:val="28"/>
          <w:u w:val="single"/>
          <w:shd w:val="pct15" w:color="auto" w:fill="FFFFFF"/>
          <w:lang w:val="es-MX"/>
        </w:rPr>
      </w:pPr>
      <w:r w:rsidRPr="00AB52F1">
        <w:rPr>
          <w:rFonts w:asciiTheme="majorHAnsi" w:hAnsiTheme="majorHAnsi" w:cstheme="majorHAnsi"/>
          <w:sz w:val="28"/>
          <w:shd w:val="pct15" w:color="auto" w:fill="FFFFFF"/>
          <w:lang w:val="es-MX"/>
        </w:rPr>
        <w:t xml:space="preserve">Test sobre la </w:t>
      </w:r>
      <w:r w:rsidR="00AB52F1" w:rsidRPr="00AB52F1">
        <w:rPr>
          <w:rFonts w:asciiTheme="majorHAnsi" w:hAnsiTheme="majorHAnsi" w:cstheme="majorHAnsi"/>
          <w:sz w:val="28"/>
          <w:u w:val="single"/>
          <w:shd w:val="pct15" w:color="auto" w:fill="FFFFFF"/>
          <w:lang w:val="es-MX"/>
        </w:rPr>
        <w:t>i</w:t>
      </w:r>
      <w:r w:rsidRPr="00AB52F1">
        <w:rPr>
          <w:rFonts w:asciiTheme="majorHAnsi" w:hAnsiTheme="majorHAnsi" w:cstheme="majorHAnsi"/>
          <w:sz w:val="28"/>
          <w:u w:val="single"/>
          <w:shd w:val="pct15" w:color="auto" w:fill="FFFFFF"/>
          <w:lang w:val="es-MX"/>
        </w:rPr>
        <w:t>ntroducción al enfoque SHEP</w:t>
      </w:r>
    </w:p>
    <w:p w14:paraId="7249F776" w14:textId="77777777" w:rsidR="008B4467" w:rsidRPr="00AB52F1" w:rsidRDefault="00E24676" w:rsidP="00E24676">
      <w:pPr>
        <w:jc w:val="center"/>
        <w:rPr>
          <w:rFonts w:asciiTheme="majorHAnsi" w:hAnsiTheme="majorHAnsi" w:cstheme="majorHAnsi"/>
          <w:sz w:val="28"/>
          <w:szCs w:val="21"/>
          <w:lang w:val="es-MX"/>
        </w:rPr>
      </w:pPr>
      <w:r w:rsidRPr="00AB52F1">
        <w:rPr>
          <w:rFonts w:asciiTheme="majorHAnsi" w:hAnsiTheme="majorHAnsi" w:cstheme="majorHAnsi"/>
          <w:sz w:val="28"/>
          <w:szCs w:val="21"/>
          <w:lang w:val="es-MX"/>
        </w:rPr>
        <w:t>Respuestas y explicaciones</w:t>
      </w:r>
    </w:p>
    <w:p w14:paraId="7BA859AF" w14:textId="7ED8A0A3" w:rsidR="00E14E2A" w:rsidRPr="00AB52F1" w:rsidRDefault="00E14E2A" w:rsidP="00E14E2A">
      <w:pPr>
        <w:jc w:val="left"/>
        <w:rPr>
          <w:rFonts w:ascii="Times New Roman" w:hAnsi="Times New Roman" w:cs="Times New Roman"/>
          <w:szCs w:val="21"/>
          <w:lang w:val="es-MX"/>
        </w:rPr>
      </w:pPr>
      <w:bookmarkStart w:id="0" w:name="_GoBack"/>
      <w:bookmarkEnd w:id="0"/>
    </w:p>
    <w:tbl>
      <w:tblPr>
        <w:tblStyle w:val="a3"/>
        <w:tblW w:w="14170" w:type="dxa"/>
        <w:jc w:val="center"/>
        <w:tblLook w:val="04A0" w:firstRow="1" w:lastRow="0" w:firstColumn="1" w:lastColumn="0" w:noHBand="0" w:noVBand="1"/>
      </w:tblPr>
      <w:tblGrid>
        <w:gridCol w:w="426"/>
        <w:gridCol w:w="1999"/>
        <w:gridCol w:w="6637"/>
        <w:gridCol w:w="1068"/>
        <w:gridCol w:w="4040"/>
      </w:tblGrid>
      <w:tr w:rsidR="00E24676" w:rsidRPr="00AB52F1" w14:paraId="2308FF1A" w14:textId="77777777" w:rsidTr="00427022">
        <w:trPr>
          <w:jc w:val="center"/>
        </w:trPr>
        <w:tc>
          <w:tcPr>
            <w:tcW w:w="426" w:type="dxa"/>
            <w:shd w:val="clear" w:color="auto" w:fill="D9D9D9" w:themeFill="background1" w:themeFillShade="D9"/>
          </w:tcPr>
          <w:p w14:paraId="04857E12" w14:textId="77777777" w:rsidR="00E24676" w:rsidRPr="00AB52F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104236CF" w14:textId="77777777" w:rsidR="00E24676" w:rsidRPr="00AB52F1" w:rsidRDefault="00E24676" w:rsidP="00661E28">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Pregunta</w:t>
            </w:r>
          </w:p>
        </w:tc>
        <w:tc>
          <w:tcPr>
            <w:tcW w:w="6769" w:type="dxa"/>
            <w:shd w:val="clear" w:color="auto" w:fill="D9D9D9" w:themeFill="background1" w:themeFillShade="D9"/>
          </w:tcPr>
          <w:p w14:paraId="573D5480" w14:textId="77777777" w:rsidR="00E24676" w:rsidRPr="00AB52F1" w:rsidRDefault="00E24676" w:rsidP="008B4467">
            <w:pPr>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DFA045" w14:textId="77777777" w:rsidR="00E24676" w:rsidRPr="00AB52F1" w:rsidRDefault="00E24676" w:rsidP="00E24676">
            <w:pPr>
              <w:jc w:val="center"/>
              <w:rPr>
                <w:rFonts w:ascii="Times New Roman" w:hAnsi="Times New Roman" w:cs="Times New Roman"/>
                <w:szCs w:val="21"/>
                <w:lang w:val="es-MX"/>
              </w:rPr>
            </w:pPr>
            <w:r w:rsidRPr="00AB52F1">
              <w:rPr>
                <w:rFonts w:ascii="Times New Roman" w:hAnsi="Times New Roman" w:cs="Times New Roman"/>
                <w:szCs w:val="21"/>
                <w:lang w:val="es-MX"/>
              </w:rPr>
              <w:t>Respuesta</w:t>
            </w:r>
          </w:p>
        </w:tc>
        <w:tc>
          <w:tcPr>
            <w:tcW w:w="4101" w:type="dxa"/>
            <w:shd w:val="clear" w:color="auto" w:fill="D9D9D9" w:themeFill="background1" w:themeFillShade="D9"/>
          </w:tcPr>
          <w:p w14:paraId="2C1454E1" w14:textId="77777777" w:rsidR="00E24676" w:rsidRPr="00AB52F1" w:rsidRDefault="00E24676" w:rsidP="008B4467">
            <w:pPr>
              <w:jc w:val="center"/>
              <w:rPr>
                <w:rFonts w:ascii="Times New Roman" w:hAnsi="Times New Roman" w:cs="Times New Roman"/>
                <w:szCs w:val="21"/>
                <w:lang w:val="es-MX"/>
              </w:rPr>
            </w:pPr>
            <w:r w:rsidRPr="00AB52F1">
              <w:rPr>
                <w:rFonts w:ascii="Times New Roman" w:hAnsi="Times New Roman" w:cs="Times New Roman"/>
                <w:szCs w:val="21"/>
                <w:lang w:val="es-MX"/>
              </w:rPr>
              <w:t>Explicación</w:t>
            </w:r>
          </w:p>
        </w:tc>
      </w:tr>
      <w:tr w:rsidR="00FA1EFC" w:rsidRPr="00AB52F1" w14:paraId="62D4154E" w14:textId="77777777" w:rsidTr="00427022">
        <w:trPr>
          <w:jc w:val="center"/>
        </w:trPr>
        <w:tc>
          <w:tcPr>
            <w:tcW w:w="426" w:type="dxa"/>
          </w:tcPr>
          <w:p w14:paraId="2B2F473D"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w:t>
            </w:r>
          </w:p>
        </w:tc>
        <w:tc>
          <w:tcPr>
            <w:tcW w:w="2004" w:type="dxa"/>
          </w:tcPr>
          <w:p w14:paraId="4FCCAAE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significa SHEP?</w:t>
            </w:r>
          </w:p>
        </w:tc>
        <w:tc>
          <w:tcPr>
            <w:tcW w:w="6769" w:type="dxa"/>
          </w:tcPr>
          <w:p w14:paraId="79C44AA8" w14:textId="01632A30" w:rsidR="00FA1EFC" w:rsidRPr="00AB52F1" w:rsidRDefault="00FA1EFC" w:rsidP="00AB4302">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Promoción del Empleo para Agricultores de Parcelas Pequeñas</w:t>
            </w:r>
            <w:r w:rsidRPr="00AB52F1">
              <w:rPr>
                <w:rFonts w:ascii="Times New Roman" w:hAnsi="Times New Roman" w:cs="Times New Roman"/>
                <w:color w:val="000000" w:themeColor="text1"/>
                <w:szCs w:val="21"/>
                <w:lang w:val="es-MX"/>
              </w:rPr>
              <w:br/>
              <w:t>2. Programa Educativo para Horticultores de Pequeña y Mediana Escala</w:t>
            </w:r>
            <w:r w:rsidRPr="00AB52F1">
              <w:rPr>
                <w:rFonts w:ascii="Times New Roman" w:hAnsi="Times New Roman" w:cs="Times New Roman"/>
                <w:color w:val="000000" w:themeColor="text1"/>
                <w:szCs w:val="21"/>
                <w:lang w:val="es-MX"/>
              </w:rPr>
              <w:br/>
              <w:t xml:space="preserve">3. </w:t>
            </w:r>
            <w:r w:rsidR="00AB4302" w:rsidRPr="00AB4302">
              <w:rPr>
                <w:rFonts w:ascii="Times New Roman" w:hAnsi="Times New Roman" w:cs="Times New Roman"/>
                <w:color w:val="000000" w:themeColor="text1"/>
                <w:szCs w:val="21"/>
                <w:lang w:val="es-MX"/>
              </w:rPr>
              <w:t xml:space="preserve">Empoderamiento y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romoción de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equeños </w:t>
            </w:r>
            <w:r w:rsidR="00AB4302">
              <w:rPr>
                <w:rFonts w:ascii="Times New Roman" w:hAnsi="Times New Roman" w:cs="Times New Roman"/>
                <w:color w:val="000000" w:themeColor="text1"/>
                <w:szCs w:val="21"/>
                <w:lang w:val="es-MX"/>
              </w:rPr>
              <w:t>H</w:t>
            </w:r>
            <w:r w:rsidR="00AB4302" w:rsidRPr="00AB4302">
              <w:rPr>
                <w:rFonts w:ascii="Times New Roman" w:hAnsi="Times New Roman" w:cs="Times New Roman"/>
                <w:color w:val="000000" w:themeColor="text1"/>
                <w:szCs w:val="21"/>
                <w:lang w:val="es-MX"/>
              </w:rPr>
              <w:t>orticultores</w:t>
            </w:r>
            <w:r w:rsidRPr="00AB52F1">
              <w:rPr>
                <w:rFonts w:ascii="Times New Roman" w:hAnsi="Times New Roman" w:cs="Times New Roman"/>
                <w:color w:val="000000" w:themeColor="text1"/>
                <w:szCs w:val="21"/>
                <w:lang w:val="es-MX"/>
              </w:rPr>
              <w:br/>
              <w:t>4. Programa de Empoderamiento para Pequeños Horticultores</w:t>
            </w:r>
          </w:p>
        </w:tc>
        <w:tc>
          <w:tcPr>
            <w:tcW w:w="870" w:type="dxa"/>
          </w:tcPr>
          <w:p w14:paraId="7A7115D3"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5F5F3729" w14:textId="2A358B68" w:rsidR="00FA1EFC" w:rsidRPr="00AB52F1" w:rsidRDefault="00B85EDB"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término «SHEP» fue acuñado primero como acrónimo de un proyecto de cooperación técnica llamado «</w:t>
            </w:r>
            <w:r w:rsidRPr="00AB52F1">
              <w:rPr>
                <w:rFonts w:ascii="Times New Roman" w:hAnsi="Times New Roman" w:cs="Times New Roman"/>
                <w:i/>
                <w:iCs/>
                <w:color w:val="000000"/>
                <w:szCs w:val="21"/>
                <w:lang w:val="es-MX"/>
              </w:rPr>
              <w:t>Smallholder Horticulture Empowerment Project</w:t>
            </w:r>
            <w:r w:rsidRPr="00AB52F1">
              <w:rPr>
                <w:rFonts w:ascii="Times New Roman" w:hAnsi="Times New Roman" w:cs="Times New Roman"/>
                <w:color w:val="000000"/>
                <w:szCs w:val="21"/>
                <w:lang w:val="es-MX"/>
              </w:rPr>
              <w:t xml:space="preserve">» (Proyecto de empoderamiento de pequeños horticultores) (2006-2009). Luego se convirtió en un acrónimo de </w:t>
            </w:r>
            <w:r w:rsidRPr="00AB52F1">
              <w:rPr>
                <w:rFonts w:ascii="Times New Roman" w:hAnsi="Times New Roman" w:cs="Times New Roman"/>
                <w:i/>
                <w:iCs/>
                <w:color w:val="000000"/>
                <w:szCs w:val="21"/>
                <w:lang w:val="es-MX"/>
              </w:rPr>
              <w:t>Smallholder Horticulture Empowerment and Promotion</w:t>
            </w:r>
            <w:r w:rsidRPr="00AB52F1">
              <w:rPr>
                <w:rFonts w:ascii="Times New Roman" w:hAnsi="Times New Roman" w:cs="Times New Roman"/>
                <w:color w:val="000000"/>
                <w:szCs w:val="21"/>
                <w:lang w:val="es-MX"/>
              </w:rPr>
              <w:t xml:space="preserve"> (empoderamiento y promoción de pequeños horticultores) durante el proceso que lo sucedió, llamado «</w:t>
            </w:r>
            <w:r w:rsidRPr="00AB52F1">
              <w:rPr>
                <w:rFonts w:ascii="Times New Roman" w:hAnsi="Times New Roman" w:cs="Times New Roman"/>
                <w:i/>
                <w:iCs/>
                <w:color w:val="000000"/>
                <w:szCs w:val="21"/>
                <w:lang w:val="es-MX"/>
              </w:rPr>
              <w:t>Smallholder Horticulture Empowerment and Promotion Unit Project</w:t>
            </w:r>
            <w:r w:rsidRPr="00AB52F1">
              <w:rPr>
                <w:rFonts w:ascii="Times New Roman" w:hAnsi="Times New Roman" w:cs="Times New Roman"/>
                <w:color w:val="000000"/>
                <w:szCs w:val="21"/>
                <w:lang w:val="es-MX"/>
              </w:rPr>
              <w:t xml:space="preserve"> (proyecto unitario de Empoderamiento y Promoción de pequeños horticultores (SHEP UP)» (2010-2015).</w:t>
            </w:r>
          </w:p>
        </w:tc>
      </w:tr>
      <w:tr w:rsidR="00FA1EFC" w:rsidRPr="00AB52F1" w14:paraId="7B821E89" w14:textId="77777777" w:rsidTr="00427022">
        <w:trPr>
          <w:jc w:val="center"/>
        </w:trPr>
        <w:tc>
          <w:tcPr>
            <w:tcW w:w="426" w:type="dxa"/>
          </w:tcPr>
          <w:p w14:paraId="7D42436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2</w:t>
            </w:r>
          </w:p>
        </w:tc>
        <w:tc>
          <w:tcPr>
            <w:tcW w:w="2004" w:type="dxa"/>
          </w:tcPr>
          <w:p w14:paraId="721FA53F"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¿En qué país se implementó por primera vez el enfoque SHEP?</w:t>
            </w:r>
          </w:p>
        </w:tc>
        <w:tc>
          <w:tcPr>
            <w:tcW w:w="6769" w:type="dxa"/>
          </w:tcPr>
          <w:p w14:paraId="431346F7"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Sudáfrica</w:t>
            </w:r>
            <w:r w:rsidRPr="00AB52F1">
              <w:rPr>
                <w:rFonts w:ascii="Times New Roman" w:hAnsi="Times New Roman" w:cs="Times New Roman"/>
                <w:color w:val="000000" w:themeColor="text1"/>
                <w:szCs w:val="21"/>
                <w:lang w:val="es-MX"/>
              </w:rPr>
              <w:br/>
              <w:t>2. Kenia</w:t>
            </w:r>
            <w:r w:rsidRPr="00AB52F1">
              <w:rPr>
                <w:rFonts w:ascii="Times New Roman" w:hAnsi="Times New Roman" w:cs="Times New Roman"/>
                <w:color w:val="000000" w:themeColor="text1"/>
                <w:szCs w:val="21"/>
                <w:lang w:val="es-MX"/>
              </w:rPr>
              <w:br/>
              <w:t>3. Japón</w:t>
            </w:r>
            <w:r w:rsidRPr="00AB52F1">
              <w:rPr>
                <w:rFonts w:ascii="Times New Roman" w:hAnsi="Times New Roman" w:cs="Times New Roman"/>
                <w:color w:val="000000" w:themeColor="text1"/>
                <w:szCs w:val="21"/>
                <w:lang w:val="es-MX"/>
              </w:rPr>
              <w:br/>
              <w:t>4. Otro</w:t>
            </w:r>
          </w:p>
        </w:tc>
        <w:tc>
          <w:tcPr>
            <w:tcW w:w="870" w:type="dxa"/>
          </w:tcPr>
          <w:p w14:paraId="55964CEB"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0211AF63" w14:textId="77777777" w:rsidR="00FA1EFC" w:rsidRPr="00AB52F1" w:rsidRDefault="00B85EDB"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se desarrolló primero en Kenia bajo iniciativa del Ministerio de Agricultura, Kenia y la Agencia de Cooperación Internacional del Japón (JICA).</w:t>
            </w:r>
          </w:p>
        </w:tc>
      </w:tr>
      <w:tr w:rsidR="00FA1EFC" w:rsidRPr="00AB52F1" w14:paraId="3520D843" w14:textId="77777777" w:rsidTr="00427022">
        <w:trPr>
          <w:jc w:val="center"/>
        </w:trPr>
        <w:tc>
          <w:tcPr>
            <w:tcW w:w="426" w:type="dxa"/>
          </w:tcPr>
          <w:p w14:paraId="49DA691B"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3</w:t>
            </w:r>
          </w:p>
        </w:tc>
        <w:tc>
          <w:tcPr>
            <w:tcW w:w="2004" w:type="dxa"/>
          </w:tcPr>
          <w:p w14:paraId="5AFEFA9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teorías sostienen los dos </w:t>
            </w:r>
            <w:r w:rsidRPr="00AB52F1">
              <w:rPr>
                <w:rFonts w:ascii="Times New Roman" w:hAnsi="Times New Roman" w:cs="Times New Roman"/>
                <w:color w:val="000000" w:themeColor="text1"/>
                <w:szCs w:val="21"/>
                <w:lang w:val="es-MX"/>
              </w:rPr>
              <w:lastRenderedPageBreak/>
              <w:t>pilares clave del enfoque SHEP?</w:t>
            </w:r>
          </w:p>
        </w:tc>
        <w:tc>
          <w:tcPr>
            <w:tcW w:w="6769" w:type="dxa"/>
          </w:tcPr>
          <w:p w14:paraId="02E12FA8"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La teoría macroeconómica y la teoría de la motivación experimental</w:t>
            </w:r>
            <w:r w:rsidRPr="00AB52F1">
              <w:rPr>
                <w:rFonts w:ascii="Times New Roman" w:hAnsi="Times New Roman" w:cs="Times New Roman"/>
                <w:color w:val="000000" w:themeColor="text1"/>
                <w:szCs w:val="21"/>
                <w:lang w:val="es-MX"/>
              </w:rPr>
              <w:br/>
              <w:t>2. La teoría de la motivación y la teoría de la autodeterminación</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3. La teoría del mecanismo del mercado y la teoría de la motivación</w:t>
            </w:r>
            <w:r w:rsidRPr="00AB52F1">
              <w:rPr>
                <w:rFonts w:ascii="Times New Roman" w:hAnsi="Times New Roman" w:cs="Times New Roman"/>
                <w:color w:val="000000" w:themeColor="text1"/>
                <w:szCs w:val="21"/>
                <w:lang w:val="es-MX"/>
              </w:rPr>
              <w:br/>
              <w:t>4. La teoría sobre los mercados con información asimétrica y la teoría de la autodeterminación</w:t>
            </w:r>
          </w:p>
        </w:tc>
        <w:tc>
          <w:tcPr>
            <w:tcW w:w="870" w:type="dxa"/>
          </w:tcPr>
          <w:p w14:paraId="13EDF29C"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4</w:t>
            </w:r>
          </w:p>
        </w:tc>
        <w:tc>
          <w:tcPr>
            <w:tcW w:w="4101" w:type="dxa"/>
          </w:tcPr>
          <w:p w14:paraId="2A811574" w14:textId="77777777" w:rsidR="00FA1EFC" w:rsidRPr="00AB52F1" w:rsidRDefault="00B85EDB" w:rsidP="008934E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El concepto clave del SHEP incluye dos teorías tomadas de discursos académicos </w:t>
            </w:r>
            <w:r w:rsidRPr="00AB52F1">
              <w:rPr>
                <w:rFonts w:ascii="Times New Roman" w:hAnsi="Times New Roman" w:cs="Times New Roman"/>
                <w:color w:val="000000"/>
                <w:szCs w:val="21"/>
                <w:lang w:val="es-MX"/>
              </w:rPr>
              <w:lastRenderedPageBreak/>
              <w:t>distintos. Una se relaciona con una teoría macroeconómica llamada «mercados con información asimétrica». La otra es la teoría de la autodeterminación, que trata sobre la motivación, propuesta por psicólogos como Edward L. Deci y Richard Ryan.</w:t>
            </w:r>
          </w:p>
        </w:tc>
      </w:tr>
      <w:tr w:rsidR="00FA1EFC" w:rsidRPr="00AB52F1" w14:paraId="0626ACEC" w14:textId="77777777" w:rsidTr="00427022">
        <w:trPr>
          <w:jc w:val="center"/>
        </w:trPr>
        <w:tc>
          <w:tcPr>
            <w:tcW w:w="426" w:type="dxa"/>
          </w:tcPr>
          <w:p w14:paraId="4815430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4</w:t>
            </w:r>
          </w:p>
        </w:tc>
        <w:tc>
          <w:tcPr>
            <w:tcW w:w="2004" w:type="dxa"/>
          </w:tcPr>
          <w:p w14:paraId="72B84DD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Según la teoría de la autodeterminación, ¿cuáles son las tres necesidades psicológicas que motivan a la gente?</w:t>
            </w:r>
          </w:p>
        </w:tc>
        <w:tc>
          <w:tcPr>
            <w:tcW w:w="6769" w:type="dxa"/>
          </w:tcPr>
          <w:p w14:paraId="238EE7BB"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Autonomía, competencia y conexión</w:t>
            </w:r>
            <w:r w:rsidRPr="00AB52F1">
              <w:rPr>
                <w:rFonts w:ascii="Times New Roman" w:hAnsi="Times New Roman" w:cs="Times New Roman"/>
                <w:color w:val="000000" w:themeColor="text1"/>
                <w:szCs w:val="21"/>
                <w:lang w:val="es-MX"/>
              </w:rPr>
              <w:br/>
              <w:t>2. Factores higiénicos, motivadores y estima</w:t>
            </w:r>
            <w:r w:rsidRPr="00AB52F1">
              <w:rPr>
                <w:rFonts w:ascii="Times New Roman" w:hAnsi="Times New Roman" w:cs="Times New Roman"/>
                <w:color w:val="000000" w:themeColor="text1"/>
                <w:szCs w:val="21"/>
                <w:lang w:val="es-MX"/>
              </w:rPr>
              <w:br/>
              <w:t>3. Estima, autorrealización y necesidades fisiológicas</w:t>
            </w:r>
            <w:r w:rsidRPr="00AB52F1">
              <w:rPr>
                <w:rFonts w:ascii="Times New Roman" w:hAnsi="Times New Roman" w:cs="Times New Roman"/>
                <w:color w:val="000000" w:themeColor="text1"/>
                <w:szCs w:val="21"/>
                <w:lang w:val="es-MX"/>
              </w:rPr>
              <w:br/>
              <w:t>4. Autodeterminación, motivación endógena y motivación exógena</w:t>
            </w:r>
          </w:p>
        </w:tc>
        <w:tc>
          <w:tcPr>
            <w:tcW w:w="870" w:type="dxa"/>
          </w:tcPr>
          <w:p w14:paraId="3C5CB47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1</w:t>
            </w:r>
          </w:p>
        </w:tc>
        <w:tc>
          <w:tcPr>
            <w:tcW w:w="4101" w:type="dxa"/>
          </w:tcPr>
          <w:p w14:paraId="4B834624" w14:textId="6331DD03"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La teoría de la autodeterminación plantea que la motivación de la gente aumenta cuando reciben apoyo </w:t>
            </w:r>
            <w:r w:rsidR="00565456">
              <w:rPr>
                <w:rFonts w:ascii="Times New Roman" w:hAnsi="Times New Roman" w:cs="Times New Roman"/>
                <w:color w:val="000000"/>
                <w:szCs w:val="21"/>
                <w:lang w:val="es-MX"/>
              </w:rPr>
              <w:t xml:space="preserve">para </w:t>
            </w:r>
            <w:r w:rsidRPr="00AB52F1">
              <w:rPr>
                <w:rFonts w:ascii="Times New Roman" w:hAnsi="Times New Roman" w:cs="Times New Roman"/>
                <w:color w:val="000000"/>
                <w:szCs w:val="21"/>
                <w:lang w:val="es-MX"/>
              </w:rPr>
              <w:t>sus necesidades psicológicas de autonomía, competencia y conexión.</w:t>
            </w:r>
          </w:p>
        </w:tc>
      </w:tr>
      <w:tr w:rsidR="00FA1EFC" w:rsidRPr="00AB52F1" w14:paraId="4C2FDB32" w14:textId="77777777" w:rsidTr="00427022">
        <w:trPr>
          <w:jc w:val="center"/>
        </w:trPr>
        <w:tc>
          <w:tcPr>
            <w:tcW w:w="426" w:type="dxa"/>
          </w:tcPr>
          <w:p w14:paraId="14C4850C"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5</w:t>
            </w:r>
          </w:p>
        </w:tc>
        <w:tc>
          <w:tcPr>
            <w:tcW w:w="2004" w:type="dxa"/>
          </w:tcPr>
          <w:p w14:paraId="5230D062"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afirmaciones siguientes describe mejor la necesidad psicológica de competencia?</w:t>
            </w:r>
          </w:p>
        </w:tc>
        <w:tc>
          <w:tcPr>
            <w:tcW w:w="6769" w:type="dxa"/>
          </w:tcPr>
          <w:p w14:paraId="35B73431" w14:textId="28D463DE"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La necesidad que tienen las personas de ser reconocidas en su organización social.</w:t>
            </w:r>
            <w:r w:rsidRPr="00AB52F1">
              <w:rPr>
                <w:rFonts w:ascii="Times New Roman" w:hAnsi="Times New Roman" w:cs="Times New Roman"/>
                <w:color w:val="000000" w:themeColor="text1"/>
                <w:szCs w:val="21"/>
                <w:lang w:val="es-MX"/>
              </w:rPr>
              <w:br/>
              <w:t>2. La necesidad que tienen las personas de pasar diversos exámenes para lograr algo que aspiran a hacer.</w:t>
            </w:r>
            <w:r w:rsidRPr="00AB52F1">
              <w:rPr>
                <w:rFonts w:ascii="Times New Roman" w:hAnsi="Times New Roman" w:cs="Times New Roman"/>
                <w:color w:val="000000" w:themeColor="text1"/>
                <w:szCs w:val="21"/>
                <w:lang w:val="es-MX"/>
              </w:rPr>
              <w:br/>
              <w:t>3. La necesidad que tienen las personas de seguir trabajando en algo que tratan de lograr.</w:t>
            </w:r>
            <w:r w:rsidRPr="00AB52F1">
              <w:rPr>
                <w:rFonts w:ascii="Times New Roman" w:hAnsi="Times New Roman" w:cs="Times New Roman"/>
                <w:color w:val="000000" w:themeColor="text1"/>
                <w:szCs w:val="21"/>
                <w:lang w:val="es-MX"/>
              </w:rPr>
              <w:br/>
              <w:t>4. La necesidad que tienen las personas de poder interactuar efectivamente con su entorno.</w:t>
            </w:r>
          </w:p>
        </w:tc>
        <w:tc>
          <w:tcPr>
            <w:tcW w:w="870" w:type="dxa"/>
          </w:tcPr>
          <w:p w14:paraId="505A078D"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28E09E91" w14:textId="506AF5F3" w:rsidR="00FA1EFC" w:rsidRPr="00AB52F1" w:rsidRDefault="008934EC"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La necesidad psicológica de competencia se refiere a la situación en que una persona desea causar un impacto exitoso en su entorno, como lograr una tarea planificada con anticipación y sentir que su</w:t>
            </w:r>
            <w:r w:rsidR="00565456">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 xml:space="preserve">capacidad </w:t>
            </w:r>
            <w:r w:rsidR="00565456">
              <w:rPr>
                <w:rFonts w:ascii="Times New Roman" w:hAnsi="Times New Roman" w:cs="Times New Roman"/>
                <w:color w:val="000000"/>
                <w:szCs w:val="21"/>
                <w:lang w:val="es-MX"/>
              </w:rPr>
              <w:t>está</w:t>
            </w:r>
            <w:r w:rsidR="00565456" w:rsidRPr="00AB52F1">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mejora</w:t>
            </w:r>
            <w:r w:rsidR="00565456">
              <w:rPr>
                <w:rFonts w:ascii="Times New Roman" w:hAnsi="Times New Roman" w:cs="Times New Roman"/>
                <w:color w:val="000000"/>
                <w:szCs w:val="21"/>
                <w:lang w:val="es-MX"/>
              </w:rPr>
              <w:t>ndo</w:t>
            </w:r>
            <w:r w:rsidRPr="00AB52F1">
              <w:rPr>
                <w:rFonts w:ascii="Times New Roman" w:hAnsi="Times New Roman" w:cs="Times New Roman"/>
                <w:color w:val="000000"/>
                <w:szCs w:val="21"/>
                <w:lang w:val="es-MX"/>
              </w:rPr>
              <w:t>.</w:t>
            </w:r>
          </w:p>
        </w:tc>
      </w:tr>
      <w:tr w:rsidR="00FA1EFC" w:rsidRPr="00AB52F1" w14:paraId="78793AAE" w14:textId="77777777" w:rsidTr="00427022">
        <w:trPr>
          <w:jc w:val="center"/>
        </w:trPr>
        <w:tc>
          <w:tcPr>
            <w:tcW w:w="426" w:type="dxa"/>
          </w:tcPr>
          <w:p w14:paraId="62F8E1AE"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6</w:t>
            </w:r>
          </w:p>
        </w:tc>
        <w:tc>
          <w:tcPr>
            <w:tcW w:w="2004" w:type="dxa"/>
          </w:tcPr>
          <w:p w14:paraId="00F6CC39"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hace el enfoque SHEP para mitigar la información asimétrica entre los </w:t>
            </w:r>
            <w:r w:rsidRPr="00AB52F1">
              <w:rPr>
                <w:rFonts w:ascii="Times New Roman" w:hAnsi="Times New Roman" w:cs="Times New Roman"/>
                <w:color w:val="000000" w:themeColor="text1"/>
                <w:szCs w:val="21"/>
                <w:lang w:val="es-MX"/>
              </w:rPr>
              <w:lastRenderedPageBreak/>
              <w:t>actores del mercado de productos hortícolas?</w:t>
            </w:r>
          </w:p>
        </w:tc>
        <w:tc>
          <w:tcPr>
            <w:tcW w:w="6769" w:type="dxa"/>
          </w:tcPr>
          <w:p w14:paraId="17054B6D" w14:textId="697AD31D"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Ayuda a los agricultores y actores del mercado a tener una interacción directa para intercambiar información.</w:t>
            </w:r>
            <w:r w:rsidRPr="00AB52F1">
              <w:rPr>
                <w:rFonts w:ascii="Times New Roman" w:hAnsi="Times New Roman" w:cs="Times New Roman"/>
                <w:color w:val="000000" w:themeColor="text1"/>
                <w:szCs w:val="21"/>
                <w:lang w:val="es-MX"/>
              </w:rPr>
              <w:br/>
              <w:t xml:space="preserve">2. Envía </w:t>
            </w:r>
            <w:r w:rsidR="00565456" w:rsidRPr="00AB52F1">
              <w:rPr>
                <w:rFonts w:ascii="Times New Roman" w:hAnsi="Times New Roman" w:cs="Times New Roman"/>
                <w:color w:val="000000" w:themeColor="text1"/>
                <w:szCs w:val="21"/>
                <w:lang w:val="es-MX"/>
              </w:rPr>
              <w:t xml:space="preserve">información sobre los precios de mercado </w:t>
            </w:r>
            <w:r w:rsidRPr="00AB52F1">
              <w:rPr>
                <w:rFonts w:ascii="Times New Roman" w:hAnsi="Times New Roman" w:cs="Times New Roman"/>
                <w:color w:val="000000" w:themeColor="text1"/>
                <w:szCs w:val="21"/>
                <w:lang w:val="es-MX"/>
              </w:rPr>
              <w:t>a los teléfonos celulares de los agricultores.</w:t>
            </w:r>
            <w:r w:rsidRPr="00AB52F1">
              <w:rPr>
                <w:rFonts w:ascii="Times New Roman" w:hAnsi="Times New Roman" w:cs="Times New Roman"/>
                <w:color w:val="000000" w:themeColor="text1"/>
                <w:szCs w:val="21"/>
                <w:lang w:val="es-MX"/>
              </w:rPr>
              <w:br/>
              <w:t xml:space="preserve">3. Realiza capacitaciones para desarrollar habilidades productivas con los </w:t>
            </w:r>
            <w:r w:rsidRPr="00AB52F1">
              <w:rPr>
                <w:rFonts w:ascii="Times New Roman" w:hAnsi="Times New Roman" w:cs="Times New Roman"/>
                <w:color w:val="000000" w:themeColor="text1"/>
                <w:szCs w:val="21"/>
                <w:lang w:val="es-MX"/>
              </w:rPr>
              <w:lastRenderedPageBreak/>
              <w:t>agricultores.</w:t>
            </w:r>
            <w:r w:rsidRPr="00AB52F1">
              <w:rPr>
                <w:rFonts w:ascii="Times New Roman" w:hAnsi="Times New Roman" w:cs="Times New Roman"/>
                <w:color w:val="000000" w:themeColor="text1"/>
                <w:szCs w:val="21"/>
                <w:lang w:val="es-MX"/>
              </w:rPr>
              <w:br/>
              <w:t xml:space="preserve">4. Lleva a cabo </w:t>
            </w:r>
            <w:r w:rsidR="00F4629D" w:rsidRPr="00AB52F1">
              <w:rPr>
                <w:rFonts w:ascii="Times New Roman" w:hAnsi="Times New Roman" w:cs="Times New Roman"/>
                <w:color w:val="000000" w:themeColor="text1"/>
                <w:szCs w:val="21"/>
                <w:lang w:val="es-MX"/>
              </w:rPr>
              <w:t xml:space="preserve">para los agricultores </w:t>
            </w:r>
            <w:r w:rsidRPr="00AB52F1">
              <w:rPr>
                <w:rFonts w:ascii="Times New Roman" w:hAnsi="Times New Roman" w:cs="Times New Roman"/>
                <w:color w:val="000000" w:themeColor="text1"/>
                <w:szCs w:val="21"/>
                <w:lang w:val="es-MX"/>
              </w:rPr>
              <w:t xml:space="preserve">estudios </w:t>
            </w:r>
            <w:r w:rsidR="00F4629D" w:rsidRPr="00AB52F1">
              <w:rPr>
                <w:rFonts w:ascii="Times New Roman" w:hAnsi="Times New Roman" w:cs="Times New Roman"/>
                <w:color w:val="000000" w:themeColor="text1"/>
                <w:szCs w:val="21"/>
                <w:lang w:val="es-MX"/>
              </w:rPr>
              <w:t xml:space="preserve">participativos </w:t>
            </w:r>
            <w:r w:rsidRPr="00AB52F1">
              <w:rPr>
                <w:rFonts w:ascii="Times New Roman" w:hAnsi="Times New Roman" w:cs="Times New Roman"/>
                <w:color w:val="000000" w:themeColor="text1"/>
                <w:szCs w:val="21"/>
                <w:lang w:val="es-MX"/>
              </w:rPr>
              <w:t xml:space="preserve">de </w:t>
            </w:r>
            <w:r w:rsidR="00F4629D">
              <w:rPr>
                <w:rFonts w:ascii="Times New Roman" w:hAnsi="Times New Roman" w:cs="Times New Roman"/>
                <w:color w:val="000000" w:themeColor="text1"/>
                <w:szCs w:val="21"/>
                <w:lang w:val="es-MX"/>
              </w:rPr>
              <w:t xml:space="preserve">la </w:t>
            </w:r>
            <w:r w:rsidRPr="00AB52F1">
              <w:rPr>
                <w:rFonts w:ascii="Times New Roman" w:hAnsi="Times New Roman" w:cs="Times New Roman"/>
                <w:color w:val="000000" w:themeColor="text1"/>
                <w:szCs w:val="21"/>
                <w:lang w:val="es-MX"/>
              </w:rPr>
              <w:t>línea base.</w:t>
            </w:r>
          </w:p>
        </w:tc>
        <w:tc>
          <w:tcPr>
            <w:tcW w:w="870" w:type="dxa"/>
          </w:tcPr>
          <w:p w14:paraId="412B483A"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1</w:t>
            </w:r>
          </w:p>
        </w:tc>
        <w:tc>
          <w:tcPr>
            <w:tcW w:w="4101" w:type="dxa"/>
          </w:tcPr>
          <w:p w14:paraId="347E9DD1"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intenta vincular directamente a los agricultores con los actores del mercado para que puedan mitigar el problema de la asimetría de la información.</w:t>
            </w:r>
          </w:p>
        </w:tc>
      </w:tr>
      <w:tr w:rsidR="00FA1EFC" w:rsidRPr="00AB52F1" w14:paraId="066492F6" w14:textId="77777777" w:rsidTr="00427022">
        <w:trPr>
          <w:jc w:val="center"/>
        </w:trPr>
        <w:tc>
          <w:tcPr>
            <w:tcW w:w="426" w:type="dxa"/>
          </w:tcPr>
          <w:p w14:paraId="5DCD2AA8"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7</w:t>
            </w:r>
          </w:p>
        </w:tc>
        <w:tc>
          <w:tcPr>
            <w:tcW w:w="2004" w:type="dxa"/>
          </w:tcPr>
          <w:p w14:paraId="22EA5C34"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siguientes opciones es el orden correcto de los «Cuatro pasos esenciales del SHEP»?</w:t>
            </w:r>
          </w:p>
        </w:tc>
        <w:tc>
          <w:tcPr>
            <w:tcW w:w="6769" w:type="dxa"/>
          </w:tcPr>
          <w:p w14:paraId="13E00352"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(1) Los agricultores adquieren habilidades --&gt; (2) Los agricultores toman decisiones --&gt; (3) Compartir las metas con los agricultores --&gt; (4) Aumenta la conciencia de los agricultores.</w:t>
            </w:r>
            <w:r w:rsidRPr="00AB52F1">
              <w:rPr>
                <w:rFonts w:ascii="Times New Roman" w:hAnsi="Times New Roman" w:cs="Times New Roman"/>
                <w:color w:val="000000" w:themeColor="text1"/>
                <w:szCs w:val="21"/>
                <w:lang w:val="es-MX"/>
              </w:rPr>
              <w:br/>
              <w:t>2. (1) Aumenta la conciencia de los agricultores --&gt; (2) Los agricultores toman decisiones --&gt; (3) Compartir las metas con los agricultores --&gt; (4) Los agricultores adquieren habilidades.</w:t>
            </w:r>
            <w:r w:rsidRPr="00AB52F1">
              <w:rPr>
                <w:rFonts w:ascii="Times New Roman" w:hAnsi="Times New Roman" w:cs="Times New Roman"/>
                <w:color w:val="000000" w:themeColor="text1"/>
                <w:szCs w:val="21"/>
                <w:lang w:val="es-MX"/>
              </w:rPr>
              <w:br/>
              <w:t>3. (1) Compartir las metas con los agricultores --&gt; (2) Aumenta la conciencia de los agricultores --&gt; (3) Los agricultores toman decisiones --&gt; (4) Los agricultores adquieren habilidades.</w:t>
            </w:r>
            <w:r w:rsidRPr="00AB52F1">
              <w:rPr>
                <w:rFonts w:ascii="Times New Roman" w:hAnsi="Times New Roman" w:cs="Times New Roman"/>
                <w:color w:val="000000" w:themeColor="text1"/>
                <w:szCs w:val="21"/>
                <w:lang w:val="es-MX"/>
              </w:rPr>
              <w:br/>
              <w:t>4. (1) Compartir las metas con los agricultores --&gt; (2) Aumenta la conciencia de los agricultores --&gt; (3) Los agricultores adquieren habilidades --&gt; (4) Los agricultores toman decisiones.</w:t>
            </w:r>
          </w:p>
        </w:tc>
        <w:tc>
          <w:tcPr>
            <w:tcW w:w="870" w:type="dxa"/>
          </w:tcPr>
          <w:p w14:paraId="13EC1EC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6464B444"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cuatro pasos esenciales del SHEP apuntan a aumentar gradualmente la motivación de los agricultores a medida que avanzan las actividades. Una mayor motivación de los agricultores asegura que tengan más ganas de aprender nuevas habilidades.</w:t>
            </w:r>
          </w:p>
        </w:tc>
      </w:tr>
      <w:tr w:rsidR="00FA1EFC" w:rsidRPr="00AB52F1" w14:paraId="410E8EE3" w14:textId="77777777" w:rsidTr="00427022">
        <w:trPr>
          <w:jc w:val="center"/>
        </w:trPr>
        <w:tc>
          <w:tcPr>
            <w:tcW w:w="426" w:type="dxa"/>
          </w:tcPr>
          <w:p w14:paraId="5B669D5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8</w:t>
            </w:r>
          </w:p>
        </w:tc>
        <w:tc>
          <w:tcPr>
            <w:tcW w:w="2004" w:type="dxa"/>
          </w:tcPr>
          <w:p w14:paraId="0AADFD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aseveración NO describe la importancia de seguir los cuatro pasos del SHEP?</w:t>
            </w:r>
          </w:p>
        </w:tc>
        <w:tc>
          <w:tcPr>
            <w:tcW w:w="6769" w:type="dxa"/>
          </w:tcPr>
          <w:p w14:paraId="4FF13ED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Es importante implementar las actividades en el mejor momento.</w:t>
            </w:r>
            <w:r w:rsidRPr="00AB52F1">
              <w:rPr>
                <w:rFonts w:ascii="Times New Roman" w:hAnsi="Times New Roman" w:cs="Times New Roman"/>
                <w:color w:val="000000" w:themeColor="text1"/>
                <w:szCs w:val="21"/>
                <w:lang w:val="es-MX"/>
              </w:rPr>
              <w:br/>
              <w:t>2. Es esencial realizar las actividades en el orden correcto.</w:t>
            </w:r>
            <w:r w:rsidRPr="00AB52F1">
              <w:rPr>
                <w:rFonts w:ascii="Times New Roman" w:hAnsi="Times New Roman" w:cs="Times New Roman"/>
                <w:color w:val="000000" w:themeColor="text1"/>
                <w:szCs w:val="21"/>
                <w:lang w:val="es-MX"/>
              </w:rPr>
              <w:br/>
              <w:t>3. Es necesario implementar las actividades con los intervalos adecuados.</w:t>
            </w:r>
            <w:r w:rsidRPr="00AB52F1">
              <w:rPr>
                <w:rFonts w:ascii="Times New Roman" w:hAnsi="Times New Roman" w:cs="Times New Roman"/>
                <w:color w:val="000000" w:themeColor="text1"/>
                <w:szCs w:val="21"/>
                <w:lang w:val="es-MX"/>
              </w:rPr>
              <w:br/>
              <w:t>4. Es importante terminar las actividades lo más rápido posible.</w:t>
            </w:r>
          </w:p>
        </w:tc>
        <w:tc>
          <w:tcPr>
            <w:tcW w:w="870" w:type="dxa"/>
          </w:tcPr>
          <w:p w14:paraId="75055882"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69216437"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Es importante implementar las actividades en el orden correcto y en el mejor momento con intervalos adecuados. Las actividades se deben terminar con el tiempo suficiente, no necesariamente lo más rápido posible.</w:t>
            </w:r>
          </w:p>
        </w:tc>
      </w:tr>
      <w:tr w:rsidR="00FA1EFC" w:rsidRPr="00AB52F1" w14:paraId="1BDF780B" w14:textId="77777777" w:rsidTr="00427022">
        <w:trPr>
          <w:jc w:val="center"/>
        </w:trPr>
        <w:tc>
          <w:tcPr>
            <w:tcW w:w="426" w:type="dxa"/>
          </w:tcPr>
          <w:p w14:paraId="668C6C6F"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9</w:t>
            </w:r>
          </w:p>
        </w:tc>
        <w:tc>
          <w:tcPr>
            <w:tcW w:w="2004" w:type="dxa"/>
          </w:tcPr>
          <w:p w14:paraId="3428D397"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explica mejor para qué funciona el </w:t>
            </w:r>
            <w:r w:rsidRPr="00AB52F1">
              <w:rPr>
                <w:rFonts w:ascii="Times New Roman" w:hAnsi="Times New Roman" w:cs="Times New Roman"/>
                <w:color w:val="000000" w:themeColor="text1"/>
                <w:szCs w:val="21"/>
                <w:lang w:val="es-MX"/>
              </w:rPr>
              <w:lastRenderedPageBreak/>
              <w:t>enfoque SHEP en cuestiones de género?</w:t>
            </w:r>
          </w:p>
        </w:tc>
        <w:tc>
          <w:tcPr>
            <w:tcW w:w="6769" w:type="dxa"/>
          </w:tcPr>
          <w:p w14:paraId="1D4A0599"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Para lograr un negocio agrícola eficiente a nivel de los hogares.</w:t>
            </w:r>
            <w:r w:rsidRPr="00AB52F1">
              <w:rPr>
                <w:rFonts w:ascii="Times New Roman" w:hAnsi="Times New Roman" w:cs="Times New Roman"/>
                <w:color w:val="000000" w:themeColor="text1"/>
                <w:szCs w:val="21"/>
                <w:lang w:val="es-MX"/>
              </w:rPr>
              <w:br/>
              <w:t>2. Para aumentar la representación política de las mujeres tanto a nivel comunitario como regional.</w:t>
            </w:r>
            <w:r w:rsidRPr="00AB52F1">
              <w:rPr>
                <w:rFonts w:ascii="Times New Roman" w:hAnsi="Times New Roman" w:cs="Times New Roman"/>
                <w:color w:val="000000" w:themeColor="text1"/>
                <w:szCs w:val="21"/>
                <w:lang w:val="es-MX"/>
              </w:rPr>
              <w:br/>
              <w:t>3. Para mejorar las técnicas de producción de los hombres y aumentar las habilidades de marketing de las mujeres.</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4. Para atraer más financiamiento y atención de parte de donantes internacionales.</w:t>
            </w:r>
          </w:p>
        </w:tc>
        <w:tc>
          <w:tcPr>
            <w:tcW w:w="870" w:type="dxa"/>
          </w:tcPr>
          <w:p w14:paraId="3BC58BD5"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24924EA3" w14:textId="77777777" w:rsidR="00FA1EFC" w:rsidRPr="00AB52F1" w:rsidRDefault="00157D0A" w:rsidP="00FA1EFC">
            <w:pPr>
              <w:jc w:val="left"/>
              <w:rPr>
                <w:rFonts w:ascii="Times New Roman" w:hAnsi="Times New Roman" w:cs="Times New Roman"/>
                <w:szCs w:val="21"/>
                <w:lang w:val="es-MX"/>
              </w:rPr>
            </w:pPr>
            <w:r w:rsidRPr="00AB52F1">
              <w:rPr>
                <w:rFonts w:ascii="Times New Roman" w:hAnsi="Times New Roman" w:cs="Times New Roman"/>
                <w:szCs w:val="21"/>
                <w:lang w:val="es-MX"/>
              </w:rPr>
              <w:t>En el SHEP se considera que el género es un elemento importante para lograr la eficiencia y sostenibilidad del negocio agrícola tanto en el hogar como en el grupo de agricultores.</w:t>
            </w:r>
          </w:p>
        </w:tc>
      </w:tr>
      <w:tr w:rsidR="00FA1EFC" w:rsidRPr="00AB52F1" w14:paraId="2F0CC618" w14:textId="77777777" w:rsidTr="00427022">
        <w:trPr>
          <w:jc w:val="center"/>
        </w:trPr>
        <w:tc>
          <w:tcPr>
            <w:tcW w:w="426" w:type="dxa"/>
          </w:tcPr>
          <w:p w14:paraId="670CF3A5"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10</w:t>
            </w:r>
          </w:p>
        </w:tc>
        <w:tc>
          <w:tcPr>
            <w:tcW w:w="2004" w:type="dxa"/>
          </w:tcPr>
          <w:p w14:paraId="76EBDC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Con respecto al género, ¿qué NO debería prepararse antes de implementar el SHEP?</w:t>
            </w:r>
          </w:p>
        </w:tc>
        <w:tc>
          <w:tcPr>
            <w:tcW w:w="6769" w:type="dxa"/>
          </w:tcPr>
          <w:p w14:paraId="518578B5"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1. Se puede hacer un estudio y análisis sobre el género para los agricultores en las áreas objetivo. </w:t>
            </w:r>
            <w:r w:rsidRPr="00AB52F1">
              <w:rPr>
                <w:rFonts w:ascii="Times New Roman" w:hAnsi="Times New Roman" w:cs="Times New Roman"/>
                <w:color w:val="000000" w:themeColor="text1"/>
                <w:szCs w:val="21"/>
                <w:lang w:val="es-MX"/>
              </w:rPr>
              <w:br/>
              <w:t>2. Como el género es un tema sensible, los implementadores deben entender que se debe evitar cualquier intervención en las situaciones de género actuales.</w:t>
            </w:r>
            <w:r w:rsidRPr="00AB52F1">
              <w:rPr>
                <w:rFonts w:ascii="Times New Roman" w:hAnsi="Times New Roman" w:cs="Times New Roman"/>
                <w:color w:val="000000" w:themeColor="text1"/>
                <w:szCs w:val="21"/>
                <w:lang w:val="es-MX"/>
              </w:rPr>
              <w:br/>
              <w:t>3. Donde se necesite, se busca la colaboración con personas de referencia en términos de género en la organización implementadora.</w:t>
            </w:r>
            <w:r w:rsidRPr="00AB52F1">
              <w:rPr>
                <w:rFonts w:ascii="Times New Roman" w:hAnsi="Times New Roman" w:cs="Times New Roman"/>
                <w:color w:val="000000" w:themeColor="text1"/>
                <w:szCs w:val="21"/>
                <w:lang w:val="es-MX"/>
              </w:rPr>
              <w:br/>
              <w:t>4. Se debe considerar el equilibrio de género tanto en el lado de los implementadores como en el de los beneficiarios.</w:t>
            </w:r>
          </w:p>
        </w:tc>
        <w:tc>
          <w:tcPr>
            <w:tcW w:w="870" w:type="dxa"/>
          </w:tcPr>
          <w:p w14:paraId="087490FF"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7AEB46EC"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género es un elemento importante para lograr la visión del SHEP; es decir, mejorar los medios de subsistencia de las familias agricultoras, ya que puede servir como un factor que promueve o inhibe el negocio agrícola familiar. Los implementadores del SHEP deben mirar de cerca las relaciones entre sexos y las normas de los agricultores objetivo para desarrollar adecuadas intervenciones sensibles al género al llevar a cabo las actividades del SHEP.</w:t>
            </w:r>
          </w:p>
        </w:tc>
      </w:tr>
      <w:tr w:rsidR="00FA1EFC" w:rsidRPr="00AB52F1" w14:paraId="13D0136F" w14:textId="77777777" w:rsidTr="00427022">
        <w:trPr>
          <w:jc w:val="center"/>
        </w:trPr>
        <w:tc>
          <w:tcPr>
            <w:tcW w:w="426" w:type="dxa"/>
          </w:tcPr>
          <w:p w14:paraId="18185206"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11</w:t>
            </w:r>
          </w:p>
        </w:tc>
        <w:tc>
          <w:tcPr>
            <w:tcW w:w="2004" w:type="dxa"/>
          </w:tcPr>
          <w:p w14:paraId="780F78B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grupo de agricultores NO debe ser elegido como grupo objetivo del SHEP?</w:t>
            </w:r>
          </w:p>
        </w:tc>
        <w:tc>
          <w:tcPr>
            <w:tcW w:w="6769" w:type="dxa"/>
          </w:tcPr>
          <w:p w14:paraId="0496B15E"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Un grupo de agricultores donde la producción hortícola es la principal fuente de ingresos de los miembros.</w:t>
            </w:r>
            <w:r w:rsidRPr="00AB52F1">
              <w:rPr>
                <w:rFonts w:ascii="Times New Roman" w:hAnsi="Times New Roman" w:cs="Times New Roman"/>
                <w:color w:val="000000" w:themeColor="text1"/>
                <w:szCs w:val="21"/>
                <w:lang w:val="es-MX"/>
              </w:rPr>
              <w:br/>
              <w:t>2. Un grupo de agricultores con experiencia en el trabajo grupal para la gestión del riego.</w:t>
            </w:r>
            <w:r w:rsidRPr="00AB52F1">
              <w:rPr>
                <w:rFonts w:ascii="Times New Roman" w:hAnsi="Times New Roman" w:cs="Times New Roman"/>
                <w:color w:val="000000" w:themeColor="text1"/>
                <w:szCs w:val="21"/>
                <w:lang w:val="es-MX"/>
              </w:rPr>
              <w:br/>
              <w:t>3. Un grupo de agricultores cuyo objetivo principal es recibir donaciones, subvenciones y apoyo material de parte del gobierno y las ONG.</w:t>
            </w:r>
            <w:r w:rsidRPr="00AB52F1">
              <w:rPr>
                <w:rFonts w:ascii="Times New Roman" w:hAnsi="Times New Roman" w:cs="Times New Roman"/>
                <w:color w:val="000000" w:themeColor="text1"/>
                <w:szCs w:val="21"/>
                <w:lang w:val="es-MX"/>
              </w:rPr>
              <w:br/>
              <w:t>4. Un grupo de agricultores formado por hombres y mujeres con ganas de aprender habilidades administrativas.</w:t>
            </w:r>
          </w:p>
        </w:tc>
        <w:tc>
          <w:tcPr>
            <w:tcW w:w="870" w:type="dxa"/>
          </w:tcPr>
          <w:p w14:paraId="241F0F22"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t>3</w:t>
            </w:r>
          </w:p>
        </w:tc>
        <w:tc>
          <w:tcPr>
            <w:tcW w:w="4101" w:type="dxa"/>
          </w:tcPr>
          <w:p w14:paraId="569456BA"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grupos de agricultores que están solo interesados en recibir apoyo material o financiero no deben ser elegidos para el SHEP dado que el foco está en el desarrollo de la capacidad, no en el abastecimiento material ni financiero.</w:t>
            </w:r>
          </w:p>
        </w:tc>
      </w:tr>
      <w:tr w:rsidR="00FA1EFC" w:rsidRPr="00AB52F1" w14:paraId="1A053B45" w14:textId="77777777" w:rsidTr="00427022">
        <w:trPr>
          <w:jc w:val="center"/>
        </w:trPr>
        <w:tc>
          <w:tcPr>
            <w:tcW w:w="426" w:type="dxa"/>
          </w:tcPr>
          <w:p w14:paraId="30865873"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12</w:t>
            </w:r>
          </w:p>
        </w:tc>
        <w:tc>
          <w:tcPr>
            <w:tcW w:w="2004" w:type="dxa"/>
          </w:tcPr>
          <w:p w14:paraId="2CFC066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w:t>
            </w:r>
            <w:r w:rsidRPr="00AB52F1">
              <w:rPr>
                <w:rFonts w:ascii="Times New Roman" w:hAnsi="Times New Roman" w:cs="Times New Roman"/>
                <w:color w:val="000000" w:themeColor="text1"/>
                <w:szCs w:val="21"/>
                <w:lang w:val="es-MX"/>
              </w:rPr>
              <w:lastRenderedPageBreak/>
              <w:t>corresponde al impacto típico del SHEP en los agricultores objetivo?</w:t>
            </w:r>
          </w:p>
        </w:tc>
        <w:tc>
          <w:tcPr>
            <w:tcW w:w="6769" w:type="dxa"/>
          </w:tcPr>
          <w:p w14:paraId="5B8F447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Los agricultores comienzan a investigar las necesidades del mercado antes de plantar.</w:t>
            </w:r>
            <w:r w:rsidRPr="00AB52F1">
              <w:rPr>
                <w:rFonts w:ascii="Times New Roman" w:hAnsi="Times New Roman" w:cs="Times New Roman"/>
                <w:color w:val="000000" w:themeColor="text1"/>
                <w:szCs w:val="21"/>
                <w:lang w:val="es-MX"/>
              </w:rPr>
              <w:br/>
              <w:t xml:space="preserve">2. Marido y mujer dejan de comunicarse entre sí para ocultar sus ingresos en </w:t>
            </w:r>
            <w:r w:rsidRPr="00AB52F1">
              <w:rPr>
                <w:rFonts w:ascii="Times New Roman" w:hAnsi="Times New Roman" w:cs="Times New Roman"/>
                <w:color w:val="000000" w:themeColor="text1"/>
                <w:szCs w:val="21"/>
                <w:lang w:val="es-MX"/>
              </w:rPr>
              <w:lastRenderedPageBreak/>
              <w:t>efectivo.</w:t>
            </w:r>
            <w:r w:rsidRPr="00AB52F1">
              <w:rPr>
                <w:rFonts w:ascii="Times New Roman" w:hAnsi="Times New Roman" w:cs="Times New Roman"/>
                <w:color w:val="000000" w:themeColor="text1"/>
                <w:szCs w:val="21"/>
                <w:lang w:val="es-MX"/>
              </w:rPr>
              <w:br/>
              <w:t>3. Los aldeanos más jóvenes de la comunidad comienzan a abandonar la agricultura para convertirse en comerciantes hortícolas.</w:t>
            </w:r>
            <w:r w:rsidRPr="00AB52F1">
              <w:rPr>
                <w:rFonts w:ascii="Times New Roman" w:hAnsi="Times New Roman" w:cs="Times New Roman"/>
                <w:color w:val="000000" w:themeColor="text1"/>
                <w:szCs w:val="21"/>
                <w:lang w:val="es-MX"/>
              </w:rPr>
              <w:br/>
              <w:t>4. Los agricultores comienzan a contratar expertos profesionales en marketing.</w:t>
            </w:r>
          </w:p>
        </w:tc>
        <w:tc>
          <w:tcPr>
            <w:tcW w:w="870" w:type="dxa"/>
          </w:tcPr>
          <w:p w14:paraId="22432E6D" w14:textId="77777777" w:rsidR="00FA1EFC" w:rsidRPr="00AB52F1" w:rsidRDefault="00F87B43"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0658DC39" w14:textId="77777777" w:rsidR="00FA1EFC" w:rsidRPr="00AB52F1" w:rsidRDefault="00F87B43"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promueve la importancia de conocer la demanda en el mercado antes de que los agricultores comiencen a producir.</w:t>
            </w:r>
          </w:p>
        </w:tc>
      </w:tr>
    </w:tbl>
    <w:p w14:paraId="55BF8142" w14:textId="77777777" w:rsidR="008B4467" w:rsidRPr="00AB52F1" w:rsidRDefault="008B4467">
      <w:pPr>
        <w:rPr>
          <w:lang w:val="es-MX"/>
        </w:rPr>
      </w:pPr>
    </w:p>
    <w:sectPr w:rsidR="008B4467" w:rsidRPr="00AB52F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4010" w14:textId="77777777" w:rsidR="001319A6" w:rsidRDefault="001319A6" w:rsidP="00917185">
      <w:r>
        <w:separator/>
      </w:r>
    </w:p>
  </w:endnote>
  <w:endnote w:type="continuationSeparator" w:id="0">
    <w:p w14:paraId="45A42C14" w14:textId="77777777" w:rsidR="001319A6" w:rsidRDefault="001319A6"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E6F7A83" w14:textId="7F1D7BB4"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B6668">
          <w:rPr>
            <w:rFonts w:ascii="Times New Roman" w:hAnsi="Times New Roman" w:cs="Times New Roman"/>
            <w:noProof/>
          </w:rPr>
          <w:t>5</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1659" w14:textId="77777777" w:rsidR="001319A6" w:rsidRDefault="001319A6" w:rsidP="00917185">
      <w:r>
        <w:separator/>
      </w:r>
    </w:p>
  </w:footnote>
  <w:footnote w:type="continuationSeparator" w:id="0">
    <w:p w14:paraId="1BA6CCC7" w14:textId="77777777" w:rsidR="001319A6" w:rsidRDefault="001319A6"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B4C25"/>
    <w:rsid w:val="000D430B"/>
    <w:rsid w:val="001128AB"/>
    <w:rsid w:val="001319A6"/>
    <w:rsid w:val="00157D0A"/>
    <w:rsid w:val="001B6668"/>
    <w:rsid w:val="002877D5"/>
    <w:rsid w:val="00364192"/>
    <w:rsid w:val="0039284E"/>
    <w:rsid w:val="00400901"/>
    <w:rsid w:val="004242CE"/>
    <w:rsid w:val="00427022"/>
    <w:rsid w:val="00484A8F"/>
    <w:rsid w:val="00504264"/>
    <w:rsid w:val="00515110"/>
    <w:rsid w:val="0051712C"/>
    <w:rsid w:val="00565456"/>
    <w:rsid w:val="005F6162"/>
    <w:rsid w:val="00653AB9"/>
    <w:rsid w:val="00661E28"/>
    <w:rsid w:val="006821A6"/>
    <w:rsid w:val="008934EC"/>
    <w:rsid w:val="008B4467"/>
    <w:rsid w:val="00903435"/>
    <w:rsid w:val="00917185"/>
    <w:rsid w:val="00920563"/>
    <w:rsid w:val="009A461F"/>
    <w:rsid w:val="009D0F86"/>
    <w:rsid w:val="00A56E01"/>
    <w:rsid w:val="00AB4302"/>
    <w:rsid w:val="00AB52F1"/>
    <w:rsid w:val="00AF0C97"/>
    <w:rsid w:val="00B56468"/>
    <w:rsid w:val="00B85EDB"/>
    <w:rsid w:val="00C86141"/>
    <w:rsid w:val="00CB449E"/>
    <w:rsid w:val="00D35FCA"/>
    <w:rsid w:val="00D669E2"/>
    <w:rsid w:val="00DC1236"/>
    <w:rsid w:val="00E01CE2"/>
    <w:rsid w:val="00E14E2A"/>
    <w:rsid w:val="00E24676"/>
    <w:rsid w:val="00EA450E"/>
    <w:rsid w:val="00EB7D98"/>
    <w:rsid w:val="00EE6015"/>
    <w:rsid w:val="00F4629D"/>
    <w:rsid w:val="00F61835"/>
    <w:rsid w:val="00F87B43"/>
    <w:rsid w:val="00FA0619"/>
    <w:rsid w:val="00FA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0BFD7"/>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character" w:styleId="a8">
    <w:name w:val="annotation reference"/>
    <w:basedOn w:val="a0"/>
    <w:uiPriority w:val="99"/>
    <w:semiHidden/>
    <w:unhideWhenUsed/>
    <w:rsid w:val="00AF0C97"/>
    <w:rPr>
      <w:sz w:val="18"/>
      <w:szCs w:val="18"/>
    </w:rPr>
  </w:style>
  <w:style w:type="paragraph" w:styleId="a9">
    <w:name w:val="annotation text"/>
    <w:basedOn w:val="a"/>
    <w:link w:val="aa"/>
    <w:uiPriority w:val="99"/>
    <w:semiHidden/>
    <w:unhideWhenUsed/>
    <w:rsid w:val="00AF0C97"/>
    <w:pPr>
      <w:jc w:val="left"/>
    </w:pPr>
  </w:style>
  <w:style w:type="character" w:customStyle="1" w:styleId="aa">
    <w:name w:val="コメント文字列 (文字)"/>
    <w:basedOn w:val="a0"/>
    <w:link w:val="a9"/>
    <w:uiPriority w:val="99"/>
    <w:semiHidden/>
    <w:rsid w:val="00AF0C97"/>
  </w:style>
  <w:style w:type="paragraph" w:styleId="ab">
    <w:name w:val="annotation subject"/>
    <w:basedOn w:val="a9"/>
    <w:next w:val="a9"/>
    <w:link w:val="ac"/>
    <w:uiPriority w:val="99"/>
    <w:semiHidden/>
    <w:unhideWhenUsed/>
    <w:rsid w:val="00AF0C97"/>
    <w:rPr>
      <w:b/>
      <w:bCs/>
    </w:rPr>
  </w:style>
  <w:style w:type="character" w:customStyle="1" w:styleId="ac">
    <w:name w:val="コメント内容 (文字)"/>
    <w:basedOn w:val="aa"/>
    <w:link w:val="ab"/>
    <w:uiPriority w:val="99"/>
    <w:semiHidden/>
    <w:rsid w:val="00AF0C97"/>
    <w:rPr>
      <w:b/>
      <w:bCs/>
    </w:rPr>
  </w:style>
  <w:style w:type="paragraph" w:styleId="ad">
    <w:name w:val="Balloon Text"/>
    <w:basedOn w:val="a"/>
    <w:link w:val="ae"/>
    <w:uiPriority w:val="99"/>
    <w:semiHidden/>
    <w:unhideWhenUsed/>
    <w:rsid w:val="00AB4302"/>
    <w:rPr>
      <w:rFonts w:ascii="Segoe UI" w:hAnsi="Segoe UI" w:cs="Segoe UI"/>
      <w:sz w:val="18"/>
      <w:szCs w:val="18"/>
    </w:rPr>
  </w:style>
  <w:style w:type="character" w:customStyle="1" w:styleId="ae">
    <w:name w:val="吹き出し (文字)"/>
    <w:basedOn w:val="a0"/>
    <w:link w:val="ad"/>
    <w:uiPriority w:val="99"/>
    <w:semiHidden/>
    <w:rsid w:val="00AB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0386">
      <w:bodyDiv w:val="1"/>
      <w:marLeft w:val="0"/>
      <w:marRight w:val="0"/>
      <w:marTop w:val="0"/>
      <w:marBottom w:val="0"/>
      <w:divBdr>
        <w:top w:val="none" w:sz="0" w:space="0" w:color="auto"/>
        <w:left w:val="none" w:sz="0" w:space="0" w:color="auto"/>
        <w:bottom w:val="none" w:sz="0" w:space="0" w:color="auto"/>
        <w:right w:val="none" w:sz="0" w:space="0" w:color="auto"/>
      </w:divBdr>
    </w:div>
    <w:div w:id="13041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58EFF5D1-56A2-4190-A053-08937F57CB5F}"/>
</file>

<file path=customXml/itemProps2.xml><?xml version="1.0" encoding="utf-8"?>
<ds:datastoreItem xmlns:ds="http://schemas.openxmlformats.org/officeDocument/2006/customXml" ds:itemID="{4BD1A21F-6B78-45D5-8A78-327CB4996BE2}"/>
</file>

<file path=customXml/itemProps3.xml><?xml version="1.0" encoding="utf-8"?>
<ds:datastoreItem xmlns:ds="http://schemas.openxmlformats.org/officeDocument/2006/customXml" ds:itemID="{57B664C0-7FAB-4010-9521-2550C0E0ABF9}"/>
</file>

<file path=docProps/app.xml><?xml version="1.0" encoding="utf-8"?>
<Properties xmlns="http://schemas.openxmlformats.org/officeDocument/2006/extended-properties" xmlns:vt="http://schemas.openxmlformats.org/officeDocument/2006/docPropsVTypes">
  <Template>Normal.dotm</Template>
  <TotalTime>168</TotalTime>
  <Pages>5</Pages>
  <Words>1271</Words>
  <Characters>7246</Characters>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2021-12-27T00:56:00Z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151976000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